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13936" w14:textId="77777777" w:rsidR="00824761" w:rsidRPr="005849DC" w:rsidRDefault="00824761" w:rsidP="00824761">
      <w:pPr>
        <w:pStyle w:val="Title"/>
        <w:spacing w:line="242" w:lineRule="auto"/>
        <w:ind w:left="0" w:right="100" w:firstLine="0"/>
        <w:jc w:val="center"/>
      </w:pPr>
      <w:r w:rsidRPr="005849DC">
        <w:t xml:space="preserve">City </w:t>
      </w:r>
      <w:r>
        <w:t>of El Segundo Aquatics Program</w:t>
      </w:r>
    </w:p>
    <w:p w14:paraId="1D303202" w14:textId="1E78F572" w:rsidR="00824761" w:rsidRDefault="00824761" w:rsidP="00824761">
      <w:pPr>
        <w:pStyle w:val="Title"/>
        <w:spacing w:line="242" w:lineRule="auto"/>
        <w:ind w:left="0" w:right="100" w:firstLine="0"/>
        <w:jc w:val="center"/>
      </w:pPr>
      <w:r>
        <w:t xml:space="preserve"> Pool Allocation Guidelines for Permit</w:t>
      </w:r>
      <w:r>
        <w:rPr>
          <w:spacing w:val="-23"/>
        </w:rPr>
        <w:t xml:space="preserve"> </w:t>
      </w:r>
      <w:r>
        <w:t>Groups</w:t>
      </w:r>
    </w:p>
    <w:p w14:paraId="216CD9B4" w14:textId="77777777" w:rsidR="00824761" w:rsidRPr="00824761" w:rsidRDefault="00824761" w:rsidP="00824761">
      <w:pPr>
        <w:pStyle w:val="Title"/>
        <w:spacing w:line="242" w:lineRule="auto"/>
        <w:ind w:left="0" w:right="100" w:firstLine="0"/>
        <w:jc w:val="center"/>
      </w:pPr>
    </w:p>
    <w:p w14:paraId="2B6F147A" w14:textId="1A295794" w:rsidR="00824761" w:rsidRDefault="00824761" w:rsidP="00824761">
      <w:pPr>
        <w:pStyle w:val="BodyText"/>
        <w:spacing w:before="1"/>
        <w:ind w:left="140" w:right="145"/>
        <w:jc w:val="both"/>
        <w:rPr>
          <w:sz w:val="23"/>
        </w:rPr>
      </w:pPr>
      <w:r>
        <w:t xml:space="preserve">These guidelines pertain to permitting of the facilities managed by the City of El Segundo Aquatics Program. </w:t>
      </w:r>
    </w:p>
    <w:p w14:paraId="3F11871B" w14:textId="77777777" w:rsidR="00824761" w:rsidRPr="00824761" w:rsidRDefault="00824761" w:rsidP="00824761">
      <w:pPr>
        <w:pStyle w:val="BodyText"/>
        <w:spacing w:before="1"/>
        <w:ind w:left="140" w:right="145"/>
        <w:jc w:val="both"/>
        <w:rPr>
          <w:sz w:val="23"/>
        </w:rPr>
      </w:pPr>
    </w:p>
    <w:p w14:paraId="5F71572C" w14:textId="77777777" w:rsidR="00824761" w:rsidRDefault="00824761" w:rsidP="00824761">
      <w:pPr>
        <w:pStyle w:val="Heading1"/>
      </w:pPr>
      <w:r>
        <w:rPr>
          <w:u w:val="thick"/>
        </w:rPr>
        <w:t>Mission Statement</w:t>
      </w:r>
    </w:p>
    <w:p w14:paraId="1A2A1E6F" w14:textId="22161F23" w:rsidR="00824761" w:rsidRDefault="00824761" w:rsidP="00824761">
      <w:pPr>
        <w:pStyle w:val="BodyText"/>
        <w:ind w:left="140" w:right="135"/>
        <w:jc w:val="both"/>
      </w:pPr>
      <w:r>
        <w:t xml:space="preserve">The mission of the City of El Segundo Aquatics Program is to provide comprehensive aquatics programming that meets the needs of the community through highly accessible, </w:t>
      </w:r>
      <w:r w:rsidR="00096C38">
        <w:t>enjoyable,</w:t>
      </w:r>
      <w:r>
        <w:t xml:space="preserve"> and varied opportunities for learning and recreation. We strive to offer a safe, </w:t>
      </w:r>
      <w:r w:rsidR="00096C38">
        <w:t>responsive,</w:t>
      </w:r>
      <w:r>
        <w:t xml:space="preserve"> and welcoming aquatics environment that promotes the health and well-being of our customers.</w:t>
      </w:r>
    </w:p>
    <w:p w14:paraId="5CDE4DEE" w14:textId="77777777" w:rsidR="00824761" w:rsidRDefault="00824761" w:rsidP="00824761">
      <w:pPr>
        <w:pStyle w:val="BodyText"/>
        <w:spacing w:before="1"/>
      </w:pPr>
    </w:p>
    <w:p w14:paraId="576099D9" w14:textId="77777777" w:rsidR="00824761" w:rsidRDefault="00824761" w:rsidP="00824761">
      <w:pPr>
        <w:pStyle w:val="Heading1"/>
        <w:spacing w:before="1"/>
      </w:pPr>
      <w:r>
        <w:rPr>
          <w:u w:val="thick"/>
        </w:rPr>
        <w:t xml:space="preserve">Priority Use System </w:t>
      </w:r>
    </w:p>
    <w:p w14:paraId="2FFAF35F" w14:textId="77777777" w:rsidR="00824761" w:rsidRDefault="00824761" w:rsidP="00824761">
      <w:pPr>
        <w:pStyle w:val="BodyText"/>
        <w:ind w:left="140" w:right="238"/>
        <w:jc w:val="both"/>
      </w:pPr>
      <w:r>
        <w:t xml:space="preserve">The following is a list of user categories in priority order. This priority list is used as a guide in allocating pool space, while still ensuring a balance of programming is offered for the residents of El Segundo.  </w:t>
      </w:r>
    </w:p>
    <w:p w14:paraId="49575FAC" w14:textId="77777777" w:rsidR="00824761" w:rsidRDefault="00824761" w:rsidP="00824761">
      <w:pPr>
        <w:pStyle w:val="BodyText"/>
        <w:spacing w:before="10"/>
        <w:rPr>
          <w:sz w:val="23"/>
        </w:rPr>
      </w:pPr>
    </w:p>
    <w:p w14:paraId="37FE335C" w14:textId="77777777" w:rsidR="00824761" w:rsidRDefault="00824761" w:rsidP="00824761">
      <w:pPr>
        <w:pStyle w:val="ListParagraph"/>
        <w:numPr>
          <w:ilvl w:val="0"/>
          <w:numId w:val="3"/>
        </w:numPr>
        <w:tabs>
          <w:tab w:val="left" w:pos="861"/>
        </w:tabs>
        <w:ind w:hanging="361"/>
        <w:contextualSpacing w:val="0"/>
        <w:rPr>
          <w:sz w:val="24"/>
        </w:rPr>
      </w:pPr>
      <w:r>
        <w:rPr>
          <w:sz w:val="24"/>
        </w:rPr>
        <w:t>City of El Segundo Programs</w:t>
      </w:r>
    </w:p>
    <w:p w14:paraId="2E051D26" w14:textId="77777777" w:rsidR="00824761" w:rsidRDefault="00824761" w:rsidP="00824761">
      <w:pPr>
        <w:pStyle w:val="ListParagraph"/>
        <w:numPr>
          <w:ilvl w:val="0"/>
          <w:numId w:val="3"/>
        </w:numPr>
        <w:tabs>
          <w:tab w:val="left" w:pos="861"/>
        </w:tabs>
        <w:spacing w:before="120"/>
        <w:ind w:hanging="361"/>
        <w:contextualSpacing w:val="0"/>
        <w:rPr>
          <w:sz w:val="24"/>
        </w:rPr>
      </w:pPr>
      <w:r>
        <w:rPr>
          <w:sz w:val="24"/>
        </w:rPr>
        <w:t>El Segundo Unified School District/</w:t>
      </w:r>
      <w:proofErr w:type="spellStart"/>
      <w:r>
        <w:rPr>
          <w:sz w:val="24"/>
        </w:rPr>
        <w:t>Wiseburn</w:t>
      </w:r>
      <w:proofErr w:type="spellEnd"/>
      <w:r>
        <w:rPr>
          <w:sz w:val="24"/>
        </w:rPr>
        <w:t xml:space="preserve"> Unified School District Programming**</w:t>
      </w:r>
    </w:p>
    <w:p w14:paraId="153C14A6" w14:textId="6AE7CA0B" w:rsidR="00824761" w:rsidRDefault="00824761" w:rsidP="00824761">
      <w:pPr>
        <w:pStyle w:val="ListParagraph"/>
        <w:numPr>
          <w:ilvl w:val="0"/>
          <w:numId w:val="3"/>
        </w:numPr>
        <w:tabs>
          <w:tab w:val="left" w:pos="861"/>
        </w:tabs>
        <w:spacing w:before="120"/>
        <w:ind w:hanging="361"/>
        <w:contextualSpacing w:val="0"/>
        <w:rPr>
          <w:sz w:val="24"/>
        </w:rPr>
      </w:pPr>
      <w:r>
        <w:rPr>
          <w:sz w:val="24"/>
        </w:rPr>
        <w:t xml:space="preserve">El </w:t>
      </w:r>
      <w:r w:rsidR="00096C38">
        <w:rPr>
          <w:sz w:val="24"/>
        </w:rPr>
        <w:t>Segundo Resident</w:t>
      </w:r>
      <w:r>
        <w:rPr>
          <w:sz w:val="24"/>
        </w:rPr>
        <w:t xml:space="preserve"> Non-Profit Organizations – Youth aquatics/sports</w:t>
      </w:r>
      <w:r>
        <w:rPr>
          <w:spacing w:val="-15"/>
          <w:sz w:val="24"/>
        </w:rPr>
        <w:t xml:space="preserve"> </w:t>
      </w:r>
      <w:r>
        <w:rPr>
          <w:sz w:val="24"/>
        </w:rPr>
        <w:t>programs</w:t>
      </w:r>
    </w:p>
    <w:p w14:paraId="593EFEC2" w14:textId="5CB9FA6C" w:rsidR="00096C38" w:rsidRPr="00096C38" w:rsidRDefault="00096C38" w:rsidP="00096C38">
      <w:pPr>
        <w:pStyle w:val="ListParagraph"/>
        <w:numPr>
          <w:ilvl w:val="0"/>
          <w:numId w:val="3"/>
        </w:numPr>
        <w:tabs>
          <w:tab w:val="left" w:pos="861"/>
        </w:tabs>
        <w:spacing w:before="120"/>
        <w:ind w:hanging="361"/>
        <w:contextualSpacing w:val="0"/>
        <w:rPr>
          <w:sz w:val="24"/>
        </w:rPr>
      </w:pPr>
      <w:r>
        <w:rPr>
          <w:sz w:val="24"/>
        </w:rPr>
        <w:t xml:space="preserve">El </w:t>
      </w:r>
      <w:r>
        <w:rPr>
          <w:sz w:val="24"/>
        </w:rPr>
        <w:t>Segundo Resident</w:t>
      </w:r>
      <w:r>
        <w:rPr>
          <w:sz w:val="24"/>
        </w:rPr>
        <w:t xml:space="preserve"> Non-Profit Organizations – Adult aquatics/sports</w:t>
      </w:r>
      <w:r>
        <w:rPr>
          <w:spacing w:val="-14"/>
          <w:sz w:val="24"/>
        </w:rPr>
        <w:t xml:space="preserve"> </w:t>
      </w:r>
      <w:r>
        <w:rPr>
          <w:sz w:val="24"/>
        </w:rPr>
        <w:t>programs</w:t>
      </w:r>
    </w:p>
    <w:p w14:paraId="3CF0CF9D" w14:textId="07D7947C" w:rsidR="00824761" w:rsidRDefault="00096C38" w:rsidP="00824761">
      <w:pPr>
        <w:pStyle w:val="ListParagraph"/>
        <w:numPr>
          <w:ilvl w:val="0"/>
          <w:numId w:val="3"/>
        </w:numPr>
        <w:tabs>
          <w:tab w:val="left" w:pos="861"/>
        </w:tabs>
        <w:spacing w:before="117"/>
        <w:ind w:right="140"/>
        <w:contextualSpacing w:val="0"/>
        <w:rPr>
          <w:sz w:val="24"/>
        </w:rPr>
      </w:pPr>
      <w:r>
        <w:rPr>
          <w:sz w:val="24"/>
        </w:rPr>
        <w:t>Non-El</w:t>
      </w:r>
      <w:r w:rsidR="00824761">
        <w:rPr>
          <w:sz w:val="24"/>
        </w:rPr>
        <w:t xml:space="preserve"> Segundo</w:t>
      </w:r>
      <w:r>
        <w:rPr>
          <w:sz w:val="24"/>
        </w:rPr>
        <w:t xml:space="preserve"> Resident</w:t>
      </w:r>
      <w:r w:rsidR="00824761">
        <w:rPr>
          <w:sz w:val="24"/>
        </w:rPr>
        <w:t>, Non-Profit Organizations permitting the Aquatics Center 2,000 hours or more annually – Youth Aquatics/Sports</w:t>
      </w:r>
      <w:r w:rsidR="00824761">
        <w:rPr>
          <w:spacing w:val="-7"/>
          <w:sz w:val="24"/>
        </w:rPr>
        <w:t xml:space="preserve"> </w:t>
      </w:r>
      <w:r w:rsidR="00824761">
        <w:rPr>
          <w:sz w:val="24"/>
        </w:rPr>
        <w:t>Programs</w:t>
      </w:r>
    </w:p>
    <w:p w14:paraId="70798AD2" w14:textId="5292F794" w:rsidR="00824761" w:rsidRDefault="00824761" w:rsidP="00824761">
      <w:pPr>
        <w:pStyle w:val="ListParagraph"/>
        <w:numPr>
          <w:ilvl w:val="0"/>
          <w:numId w:val="3"/>
        </w:numPr>
        <w:tabs>
          <w:tab w:val="left" w:pos="861"/>
        </w:tabs>
        <w:spacing w:before="120"/>
        <w:ind w:right="138"/>
        <w:contextualSpacing w:val="0"/>
        <w:rPr>
          <w:sz w:val="24"/>
        </w:rPr>
      </w:pPr>
      <w:r>
        <w:rPr>
          <w:sz w:val="24"/>
        </w:rPr>
        <w:t>Non-El Segundo</w:t>
      </w:r>
      <w:r w:rsidR="00096C38">
        <w:rPr>
          <w:sz w:val="24"/>
        </w:rPr>
        <w:t xml:space="preserve"> Resident</w:t>
      </w:r>
      <w:r>
        <w:rPr>
          <w:sz w:val="24"/>
        </w:rPr>
        <w:t xml:space="preserve"> Non-Profit Organizations permitting the Aquatics Center 2,000 hours or more annually - Adult Aquatics</w:t>
      </w:r>
      <w:r>
        <w:rPr>
          <w:spacing w:val="-6"/>
          <w:sz w:val="24"/>
        </w:rPr>
        <w:t xml:space="preserve"> </w:t>
      </w:r>
      <w:r>
        <w:rPr>
          <w:sz w:val="24"/>
        </w:rPr>
        <w:t>Programs</w:t>
      </w:r>
    </w:p>
    <w:p w14:paraId="620F6495" w14:textId="77777777" w:rsidR="00096C38" w:rsidRDefault="00824761" w:rsidP="00824761">
      <w:pPr>
        <w:pStyle w:val="ListParagraph"/>
        <w:numPr>
          <w:ilvl w:val="0"/>
          <w:numId w:val="3"/>
        </w:numPr>
        <w:tabs>
          <w:tab w:val="left" w:pos="861"/>
        </w:tabs>
        <w:spacing w:before="121" w:line="343" w:lineRule="auto"/>
        <w:ind w:left="500" w:right="2079" w:firstLine="0"/>
        <w:contextualSpacing w:val="0"/>
        <w:rPr>
          <w:sz w:val="24"/>
        </w:rPr>
      </w:pPr>
      <w:r w:rsidRPr="006570FD">
        <w:rPr>
          <w:sz w:val="24"/>
        </w:rPr>
        <w:t xml:space="preserve">Other El </w:t>
      </w:r>
      <w:r w:rsidR="00096C38">
        <w:rPr>
          <w:sz w:val="24"/>
        </w:rPr>
        <w:t xml:space="preserve">Segundo </w:t>
      </w:r>
      <w:r>
        <w:rPr>
          <w:sz w:val="24"/>
        </w:rPr>
        <w:t xml:space="preserve">Organizations and Businesses </w:t>
      </w:r>
    </w:p>
    <w:p w14:paraId="6383AF5E" w14:textId="77777777" w:rsidR="00096C38" w:rsidRDefault="00096C38" w:rsidP="00824761">
      <w:pPr>
        <w:pStyle w:val="ListParagraph"/>
        <w:numPr>
          <w:ilvl w:val="0"/>
          <w:numId w:val="3"/>
        </w:numPr>
        <w:tabs>
          <w:tab w:val="left" w:pos="861"/>
        </w:tabs>
        <w:spacing w:before="121" w:line="343" w:lineRule="auto"/>
        <w:ind w:left="500" w:right="2079" w:firstLine="0"/>
        <w:contextualSpacing w:val="0"/>
        <w:rPr>
          <w:sz w:val="24"/>
        </w:rPr>
      </w:pPr>
      <w:r>
        <w:rPr>
          <w:sz w:val="24"/>
        </w:rPr>
        <w:t>O</w:t>
      </w:r>
      <w:r w:rsidR="00824761">
        <w:rPr>
          <w:sz w:val="24"/>
        </w:rPr>
        <w:t xml:space="preserve">ther Non-El Segundo Organizations and Businesses </w:t>
      </w:r>
    </w:p>
    <w:p w14:paraId="01CF8C69" w14:textId="7ADB05B3" w:rsidR="00824761" w:rsidRDefault="00824761" w:rsidP="00824761">
      <w:pPr>
        <w:pStyle w:val="ListParagraph"/>
        <w:numPr>
          <w:ilvl w:val="0"/>
          <w:numId w:val="3"/>
        </w:numPr>
        <w:tabs>
          <w:tab w:val="left" w:pos="861"/>
        </w:tabs>
        <w:spacing w:before="121" w:line="343" w:lineRule="auto"/>
        <w:ind w:left="500" w:right="2079" w:firstLine="0"/>
        <w:contextualSpacing w:val="0"/>
        <w:rPr>
          <w:sz w:val="24"/>
        </w:rPr>
      </w:pPr>
      <w:r>
        <w:rPr>
          <w:sz w:val="24"/>
        </w:rPr>
        <w:t>Filming</w:t>
      </w:r>
    </w:p>
    <w:p w14:paraId="124A3DD6" w14:textId="77777777" w:rsidR="00824761" w:rsidRPr="000F105A" w:rsidRDefault="00824761" w:rsidP="00824761">
      <w:pPr>
        <w:pStyle w:val="BodyText"/>
        <w:spacing w:before="6"/>
        <w:ind w:left="140" w:firstLine="40"/>
      </w:pPr>
      <w:r>
        <w:t>*</w:t>
      </w:r>
      <w:r w:rsidRPr="000F105A">
        <w:t xml:space="preserve">Use of the facility by </w:t>
      </w:r>
      <w:r>
        <w:t>ESUSD or WUSD</w:t>
      </w:r>
      <w:r w:rsidRPr="000F105A">
        <w:t xml:space="preserve"> is governed by the </w:t>
      </w:r>
      <w:r>
        <w:t xml:space="preserve">El Segundo </w:t>
      </w:r>
      <w:proofErr w:type="spellStart"/>
      <w:r>
        <w:t>Wiseburn</w:t>
      </w:r>
      <w:proofErr w:type="spellEnd"/>
      <w:r>
        <w:t xml:space="preserve"> Aquatics Center</w:t>
      </w:r>
      <w:r w:rsidRPr="000F105A">
        <w:t xml:space="preserve"> Joint Use Agreement, which specifies the seasonal use </w:t>
      </w:r>
      <w:r>
        <w:t>of the pools</w:t>
      </w:r>
      <w:r w:rsidRPr="000F105A">
        <w:t xml:space="preserve">. Additional hours for </w:t>
      </w:r>
      <w:r>
        <w:t>the school districts</w:t>
      </w:r>
      <w:r w:rsidRPr="000F105A">
        <w:t xml:space="preserve"> outside of the Joint Use Agreement hours </w:t>
      </w:r>
      <w:r>
        <w:t>can</w:t>
      </w:r>
      <w:r w:rsidRPr="000F105A">
        <w:t xml:space="preserve"> be allocated when requested if they do not displace an already allocated program unless it is fo</w:t>
      </w:r>
      <w:r>
        <w:t>r special events</w:t>
      </w:r>
      <w:r w:rsidRPr="000F105A">
        <w:t xml:space="preserve"> with at least two weeks advanced notice</w:t>
      </w:r>
      <w:r>
        <w:t>.</w:t>
      </w:r>
    </w:p>
    <w:p w14:paraId="4532FC3B" w14:textId="77777777" w:rsidR="00824761" w:rsidRDefault="00824761" w:rsidP="00824761">
      <w:pPr>
        <w:pStyle w:val="BodyText"/>
        <w:spacing w:before="4"/>
      </w:pPr>
    </w:p>
    <w:p w14:paraId="50034AD5" w14:textId="77777777" w:rsidR="00824761" w:rsidRDefault="00824761" w:rsidP="00824761">
      <w:pPr>
        <w:pStyle w:val="Heading1"/>
        <w:spacing w:line="275" w:lineRule="exact"/>
      </w:pPr>
      <w:r>
        <w:rPr>
          <w:u w:val="thick"/>
        </w:rPr>
        <w:t xml:space="preserve">Lane Allocation Considerations </w:t>
      </w:r>
    </w:p>
    <w:p w14:paraId="295AC0B2" w14:textId="77777777" w:rsidR="00824761" w:rsidRDefault="00824761" w:rsidP="00824761">
      <w:pPr>
        <w:pStyle w:val="BodyText"/>
        <w:spacing w:before="8"/>
        <w:rPr>
          <w:sz w:val="23"/>
        </w:rPr>
      </w:pPr>
      <w:r>
        <w:t xml:space="preserve">Groups in good financial standing with the City of El Segundo will be allocated pool time </w:t>
      </w:r>
      <w:r>
        <w:lastRenderedPageBreak/>
        <w:t xml:space="preserve">utilizing the Priority Use System as a framework. Although this system provides a framework for allocation, the City of El Segundo Aquatics staff will allocate pool space with the goal of ensuring that a balance of activities and opportunities are available to residents. Users may not monopolize desirable pool time </w:t>
      </w:r>
      <w:proofErr w:type="gramStart"/>
      <w:r>
        <w:t>so as to</w:t>
      </w:r>
      <w:proofErr w:type="gramEnd"/>
      <w:r>
        <w:t xml:space="preserve"> jeopardize a variety of programming opportunities being offered to the residents of El Segundo.</w:t>
      </w:r>
    </w:p>
    <w:p w14:paraId="0BC2D2AC" w14:textId="77777777" w:rsidR="00824761" w:rsidRPr="005849DC" w:rsidRDefault="00824761" w:rsidP="00824761">
      <w:pPr>
        <w:tabs>
          <w:tab w:val="left" w:pos="860"/>
          <w:tab w:val="left" w:pos="861"/>
        </w:tabs>
        <w:rPr>
          <w:sz w:val="24"/>
        </w:rPr>
      </w:pPr>
    </w:p>
    <w:p w14:paraId="4C18C4A2" w14:textId="77777777" w:rsidR="00824761" w:rsidRPr="005849DC" w:rsidRDefault="00824761" w:rsidP="00824761">
      <w:pPr>
        <w:tabs>
          <w:tab w:val="left" w:pos="450"/>
        </w:tabs>
        <w:ind w:left="450"/>
        <w:rPr>
          <w:b/>
          <w:bCs/>
          <w:sz w:val="24"/>
          <w:szCs w:val="24"/>
        </w:rPr>
      </w:pPr>
      <w:proofErr w:type="gramStart"/>
      <w:r>
        <w:rPr>
          <w:b/>
          <w:bCs/>
          <w:sz w:val="24"/>
          <w:szCs w:val="24"/>
        </w:rPr>
        <w:t xml:space="preserve">3.1  </w:t>
      </w:r>
      <w:r w:rsidRPr="005849DC">
        <w:rPr>
          <w:b/>
          <w:bCs/>
          <w:sz w:val="24"/>
          <w:szCs w:val="24"/>
        </w:rPr>
        <w:t>Pool</w:t>
      </w:r>
      <w:proofErr w:type="gramEnd"/>
      <w:r w:rsidRPr="005849DC">
        <w:rPr>
          <w:b/>
          <w:bCs/>
          <w:sz w:val="24"/>
          <w:szCs w:val="24"/>
        </w:rPr>
        <w:t xml:space="preserve"> Allocation Prioritization by Group Type and Pool</w:t>
      </w:r>
    </w:p>
    <w:p w14:paraId="6D3C64DF" w14:textId="77777777" w:rsidR="00824761" w:rsidRPr="005849DC" w:rsidRDefault="00824761" w:rsidP="00824761">
      <w:pPr>
        <w:pStyle w:val="ListParagraph"/>
        <w:widowControl/>
        <w:numPr>
          <w:ilvl w:val="1"/>
          <w:numId w:val="2"/>
        </w:numPr>
        <w:autoSpaceDE/>
        <w:autoSpaceDN/>
        <w:ind w:left="1260"/>
        <w:rPr>
          <w:sz w:val="24"/>
          <w:szCs w:val="24"/>
        </w:rPr>
      </w:pPr>
      <w:r w:rsidRPr="005849DC">
        <w:rPr>
          <w:sz w:val="24"/>
          <w:szCs w:val="24"/>
        </w:rPr>
        <w:t>Youth groups have priority weekday afternoons (</w:t>
      </w:r>
      <w:r>
        <w:rPr>
          <w:sz w:val="24"/>
          <w:szCs w:val="24"/>
        </w:rPr>
        <w:t>5:00pm-9:45pm</w:t>
      </w:r>
      <w:r w:rsidRPr="005849DC">
        <w:rPr>
          <w:sz w:val="24"/>
          <w:szCs w:val="24"/>
        </w:rPr>
        <w:t>) with a balance of City programming, youth permit groups and lap swimming</w:t>
      </w:r>
    </w:p>
    <w:p w14:paraId="40F6C00A" w14:textId="77777777" w:rsidR="00824761" w:rsidRPr="005849DC" w:rsidRDefault="00824761" w:rsidP="00824761">
      <w:pPr>
        <w:pStyle w:val="ListParagraph"/>
        <w:widowControl/>
        <w:numPr>
          <w:ilvl w:val="1"/>
          <w:numId w:val="2"/>
        </w:numPr>
        <w:autoSpaceDE/>
        <w:autoSpaceDN/>
        <w:ind w:left="1260"/>
        <w:rPr>
          <w:sz w:val="24"/>
          <w:szCs w:val="24"/>
        </w:rPr>
      </w:pPr>
      <w:r>
        <w:rPr>
          <w:sz w:val="24"/>
          <w:szCs w:val="24"/>
        </w:rPr>
        <w:t>Morning</w:t>
      </w:r>
      <w:r w:rsidRPr="005849DC">
        <w:rPr>
          <w:sz w:val="24"/>
          <w:szCs w:val="24"/>
        </w:rPr>
        <w:t xml:space="preserve"> hours are shared between youth permit groups, adult permit groups and lap swimming</w:t>
      </w:r>
    </w:p>
    <w:p w14:paraId="55321161" w14:textId="77777777" w:rsidR="00824761" w:rsidRPr="005849DC" w:rsidRDefault="00824761" w:rsidP="00824761">
      <w:pPr>
        <w:pStyle w:val="ListParagraph"/>
        <w:widowControl/>
        <w:numPr>
          <w:ilvl w:val="1"/>
          <w:numId w:val="2"/>
        </w:numPr>
        <w:autoSpaceDE/>
        <w:autoSpaceDN/>
        <w:ind w:left="1260"/>
        <w:rPr>
          <w:sz w:val="24"/>
          <w:szCs w:val="24"/>
        </w:rPr>
      </w:pPr>
      <w:r w:rsidRPr="005849DC">
        <w:rPr>
          <w:sz w:val="24"/>
          <w:szCs w:val="24"/>
        </w:rPr>
        <w:t xml:space="preserve">The </w:t>
      </w:r>
      <w:r>
        <w:rPr>
          <w:sz w:val="24"/>
          <w:szCs w:val="24"/>
        </w:rPr>
        <w:t>Instructional Pool</w:t>
      </w:r>
      <w:r w:rsidRPr="005849DC">
        <w:rPr>
          <w:sz w:val="24"/>
          <w:szCs w:val="24"/>
        </w:rPr>
        <w:t xml:space="preserve"> is primarily for learn to swim classes, novice and disabled person permit group</w:t>
      </w:r>
      <w:r>
        <w:rPr>
          <w:sz w:val="24"/>
          <w:szCs w:val="24"/>
        </w:rPr>
        <w:t>s, recreation swimming, and lap swimming</w:t>
      </w:r>
    </w:p>
    <w:p w14:paraId="7CD19698" w14:textId="77777777" w:rsidR="00824761" w:rsidRPr="005849DC" w:rsidRDefault="00824761" w:rsidP="00824761">
      <w:pPr>
        <w:pStyle w:val="ListParagraph"/>
        <w:widowControl/>
        <w:numPr>
          <w:ilvl w:val="1"/>
          <w:numId w:val="2"/>
        </w:numPr>
        <w:autoSpaceDE/>
        <w:autoSpaceDN/>
        <w:ind w:left="1260"/>
        <w:rPr>
          <w:sz w:val="24"/>
          <w:szCs w:val="24"/>
        </w:rPr>
      </w:pPr>
      <w:r w:rsidRPr="005849DC">
        <w:rPr>
          <w:sz w:val="24"/>
          <w:szCs w:val="24"/>
        </w:rPr>
        <w:t xml:space="preserve">The </w:t>
      </w:r>
      <w:r>
        <w:rPr>
          <w:sz w:val="24"/>
          <w:szCs w:val="24"/>
        </w:rPr>
        <w:t>Competition Pool</w:t>
      </w:r>
      <w:r w:rsidRPr="005849DC">
        <w:rPr>
          <w:sz w:val="24"/>
          <w:szCs w:val="24"/>
        </w:rPr>
        <w:t xml:space="preserve"> is primarily for advanced</w:t>
      </w:r>
      <w:r>
        <w:rPr>
          <w:sz w:val="24"/>
          <w:szCs w:val="24"/>
        </w:rPr>
        <w:t xml:space="preserve"> level workout</w:t>
      </w:r>
      <w:r w:rsidRPr="005849DC">
        <w:rPr>
          <w:sz w:val="24"/>
          <w:szCs w:val="24"/>
        </w:rPr>
        <w:t xml:space="preserve"> permit groups</w:t>
      </w:r>
      <w:r>
        <w:rPr>
          <w:sz w:val="24"/>
          <w:szCs w:val="24"/>
        </w:rPr>
        <w:t>, lap swimming and specialty classes</w:t>
      </w:r>
    </w:p>
    <w:p w14:paraId="0F8B35B0" w14:textId="77777777" w:rsidR="00824761" w:rsidRPr="005849DC" w:rsidRDefault="00824761" w:rsidP="00824761">
      <w:pPr>
        <w:widowControl/>
        <w:autoSpaceDE/>
        <w:autoSpaceDN/>
        <w:rPr>
          <w:sz w:val="24"/>
          <w:szCs w:val="24"/>
        </w:rPr>
      </w:pPr>
    </w:p>
    <w:p w14:paraId="6A976D23" w14:textId="77777777" w:rsidR="00824761" w:rsidRPr="005849DC" w:rsidRDefault="00824761" w:rsidP="00824761">
      <w:pPr>
        <w:pStyle w:val="ListParagraph"/>
        <w:widowControl/>
        <w:autoSpaceDE/>
        <w:autoSpaceDN/>
        <w:ind w:left="450"/>
        <w:rPr>
          <w:b/>
          <w:bCs/>
          <w:sz w:val="24"/>
          <w:szCs w:val="24"/>
        </w:rPr>
      </w:pPr>
      <w:proofErr w:type="gramStart"/>
      <w:r>
        <w:rPr>
          <w:b/>
          <w:bCs/>
          <w:sz w:val="24"/>
          <w:szCs w:val="24"/>
        </w:rPr>
        <w:t xml:space="preserve">3.2  </w:t>
      </w:r>
      <w:r w:rsidRPr="005849DC">
        <w:rPr>
          <w:b/>
          <w:bCs/>
          <w:sz w:val="24"/>
          <w:szCs w:val="24"/>
        </w:rPr>
        <w:t>Allocation</w:t>
      </w:r>
      <w:proofErr w:type="gramEnd"/>
      <w:r w:rsidRPr="005849DC">
        <w:rPr>
          <w:b/>
          <w:bCs/>
          <w:sz w:val="24"/>
          <w:szCs w:val="24"/>
        </w:rPr>
        <w:t xml:space="preserve"> of Lanes</w:t>
      </w:r>
      <w:r>
        <w:rPr>
          <w:b/>
          <w:bCs/>
          <w:sz w:val="24"/>
          <w:szCs w:val="24"/>
        </w:rPr>
        <w:t xml:space="preserve"> Based on El Segundo Residents/Success Criteria</w:t>
      </w:r>
    </w:p>
    <w:p w14:paraId="73D29604" w14:textId="37744A1A" w:rsidR="00824761" w:rsidRDefault="00824761" w:rsidP="00824761">
      <w:pPr>
        <w:widowControl/>
        <w:autoSpaceDE/>
        <w:autoSpaceDN/>
        <w:ind w:left="860"/>
        <w:rPr>
          <w:sz w:val="24"/>
          <w:szCs w:val="24"/>
        </w:rPr>
      </w:pPr>
      <w:r w:rsidRPr="005849DC">
        <w:rPr>
          <w:sz w:val="24"/>
          <w:szCs w:val="24"/>
        </w:rPr>
        <w:t xml:space="preserve">The lane allocations to each group are dependent upon the </w:t>
      </w:r>
      <w:r>
        <w:rPr>
          <w:sz w:val="24"/>
          <w:szCs w:val="24"/>
        </w:rPr>
        <w:t>score given in the annual user group success criteria review.</w:t>
      </w:r>
    </w:p>
    <w:p w14:paraId="70D21495" w14:textId="77777777" w:rsidR="00824761" w:rsidRDefault="00824761" w:rsidP="00824761">
      <w:pPr>
        <w:pStyle w:val="BodyText"/>
        <w:spacing w:before="9"/>
        <w:rPr>
          <w:sz w:val="23"/>
        </w:rPr>
      </w:pPr>
    </w:p>
    <w:p w14:paraId="466C7F28" w14:textId="77777777" w:rsidR="00824761" w:rsidRPr="005849DC" w:rsidRDefault="00824761" w:rsidP="00824761">
      <w:pPr>
        <w:pStyle w:val="ListParagraph"/>
        <w:widowControl/>
        <w:autoSpaceDE/>
        <w:autoSpaceDN/>
        <w:ind w:left="450"/>
        <w:rPr>
          <w:b/>
          <w:bCs/>
          <w:sz w:val="24"/>
          <w:szCs w:val="24"/>
        </w:rPr>
      </w:pPr>
      <w:r w:rsidRPr="005849DC">
        <w:rPr>
          <w:b/>
          <w:bCs/>
          <w:sz w:val="24"/>
          <w:szCs w:val="24"/>
        </w:rPr>
        <w:t>3.</w:t>
      </w:r>
      <w:r>
        <w:rPr>
          <w:b/>
          <w:bCs/>
          <w:sz w:val="24"/>
          <w:szCs w:val="24"/>
        </w:rPr>
        <w:t>3</w:t>
      </w:r>
      <w:r w:rsidRPr="005849DC">
        <w:rPr>
          <w:b/>
          <w:bCs/>
          <w:sz w:val="24"/>
          <w:szCs w:val="24"/>
        </w:rPr>
        <w:t xml:space="preserve"> Existing and New Permit Groups</w:t>
      </w:r>
    </w:p>
    <w:p w14:paraId="4B56F214" w14:textId="77777777" w:rsidR="00824761" w:rsidRDefault="00824761" w:rsidP="00824761">
      <w:pPr>
        <w:pStyle w:val="ListParagraph"/>
        <w:widowControl/>
        <w:autoSpaceDE/>
        <w:autoSpaceDN/>
        <w:ind w:left="860"/>
        <w:rPr>
          <w:sz w:val="24"/>
          <w:szCs w:val="24"/>
        </w:rPr>
      </w:pPr>
      <w:r>
        <w:rPr>
          <w:sz w:val="24"/>
          <w:szCs w:val="24"/>
        </w:rPr>
        <w:t>Permit g</w:t>
      </w:r>
      <w:r w:rsidRPr="009B2EDC">
        <w:rPr>
          <w:sz w:val="24"/>
          <w:szCs w:val="24"/>
        </w:rPr>
        <w:t>roups that have been a permit group for</w:t>
      </w:r>
      <w:r>
        <w:rPr>
          <w:sz w:val="24"/>
          <w:szCs w:val="24"/>
        </w:rPr>
        <w:t xml:space="preserve"> five</w:t>
      </w:r>
      <w:r w:rsidRPr="009B2EDC">
        <w:rPr>
          <w:sz w:val="24"/>
          <w:szCs w:val="24"/>
        </w:rPr>
        <w:t xml:space="preserve"> or more </w:t>
      </w:r>
      <w:r>
        <w:rPr>
          <w:sz w:val="24"/>
          <w:szCs w:val="24"/>
        </w:rPr>
        <w:t xml:space="preserve">consecutive </w:t>
      </w:r>
      <w:r w:rsidRPr="009B2EDC">
        <w:rPr>
          <w:sz w:val="24"/>
          <w:szCs w:val="24"/>
        </w:rPr>
        <w:t>years should not</w:t>
      </w:r>
      <w:r>
        <w:rPr>
          <w:sz w:val="24"/>
          <w:szCs w:val="24"/>
        </w:rPr>
        <w:t xml:space="preserve"> </w:t>
      </w:r>
      <w:r w:rsidRPr="009B2EDC">
        <w:rPr>
          <w:sz w:val="24"/>
          <w:szCs w:val="24"/>
        </w:rPr>
        <w:t>have their lane allocation reduced to be given to new group</w:t>
      </w:r>
      <w:r>
        <w:rPr>
          <w:sz w:val="24"/>
          <w:szCs w:val="24"/>
        </w:rPr>
        <w:t>s</w:t>
      </w:r>
      <w:r w:rsidRPr="009B2EDC">
        <w:rPr>
          <w:sz w:val="24"/>
          <w:szCs w:val="24"/>
        </w:rPr>
        <w:t xml:space="preserve"> unless they are </w:t>
      </w:r>
      <w:r>
        <w:rPr>
          <w:sz w:val="24"/>
          <w:szCs w:val="24"/>
        </w:rPr>
        <w:t xml:space="preserve">scoring lower than previous years in the annual user group success criteria review.  </w:t>
      </w:r>
    </w:p>
    <w:p w14:paraId="317AC306" w14:textId="77777777" w:rsidR="00824761" w:rsidRPr="00824761" w:rsidRDefault="00824761" w:rsidP="00824761">
      <w:pPr>
        <w:widowControl/>
        <w:autoSpaceDE/>
        <w:autoSpaceDN/>
        <w:rPr>
          <w:sz w:val="24"/>
          <w:szCs w:val="24"/>
        </w:rPr>
      </w:pPr>
    </w:p>
    <w:p w14:paraId="4D988350" w14:textId="77777777" w:rsidR="00824761" w:rsidRPr="005849DC" w:rsidRDefault="00824761" w:rsidP="00824761">
      <w:pPr>
        <w:pStyle w:val="ListParagraph"/>
        <w:widowControl/>
        <w:autoSpaceDE/>
        <w:autoSpaceDN/>
        <w:ind w:left="860" w:hanging="320"/>
        <w:rPr>
          <w:b/>
          <w:bCs/>
          <w:sz w:val="24"/>
          <w:szCs w:val="24"/>
        </w:rPr>
      </w:pPr>
      <w:proofErr w:type="gramStart"/>
      <w:r w:rsidRPr="005849DC">
        <w:rPr>
          <w:b/>
          <w:bCs/>
          <w:sz w:val="24"/>
          <w:szCs w:val="24"/>
        </w:rPr>
        <w:t>3.</w:t>
      </w:r>
      <w:r>
        <w:rPr>
          <w:b/>
          <w:bCs/>
          <w:sz w:val="24"/>
          <w:szCs w:val="24"/>
        </w:rPr>
        <w:t>4</w:t>
      </w:r>
      <w:r w:rsidRPr="005849DC">
        <w:rPr>
          <w:b/>
          <w:bCs/>
          <w:sz w:val="24"/>
          <w:szCs w:val="24"/>
        </w:rPr>
        <w:t xml:space="preserve">  Review</w:t>
      </w:r>
      <w:proofErr w:type="gramEnd"/>
      <w:r w:rsidRPr="005849DC">
        <w:rPr>
          <w:b/>
          <w:bCs/>
          <w:sz w:val="24"/>
          <w:szCs w:val="24"/>
        </w:rPr>
        <w:t xml:space="preserve"> of Allocations Before Confirmation of Allocations</w:t>
      </w:r>
    </w:p>
    <w:p w14:paraId="6EF26E80" w14:textId="77777777" w:rsidR="00824761" w:rsidRPr="00C114CD" w:rsidRDefault="00824761" w:rsidP="00824761">
      <w:pPr>
        <w:pStyle w:val="ListParagraph"/>
        <w:widowControl/>
        <w:autoSpaceDE/>
        <w:autoSpaceDN/>
        <w:ind w:left="860" w:firstLine="40"/>
        <w:rPr>
          <w:sz w:val="24"/>
        </w:rPr>
      </w:pPr>
      <w:r>
        <w:rPr>
          <w:sz w:val="24"/>
          <w:szCs w:val="24"/>
        </w:rPr>
        <w:t>City Staff will contact and work with permit groups before issuing allocation assignments particularly with those groups whose potential lane allocations will be significantly less or different from what is requested.</w:t>
      </w:r>
    </w:p>
    <w:p w14:paraId="6586078E" w14:textId="77777777" w:rsidR="00824761" w:rsidRDefault="00824761" w:rsidP="00824761">
      <w:pPr>
        <w:pStyle w:val="BodyText"/>
        <w:ind w:right="139"/>
        <w:jc w:val="both"/>
      </w:pPr>
    </w:p>
    <w:p w14:paraId="61DCB185" w14:textId="77777777" w:rsidR="00824761" w:rsidRPr="005849DC" w:rsidRDefault="00824761" w:rsidP="00824761">
      <w:pPr>
        <w:widowControl/>
        <w:autoSpaceDE/>
        <w:autoSpaceDN/>
        <w:ind w:left="450"/>
        <w:rPr>
          <w:b/>
          <w:bCs/>
          <w:sz w:val="24"/>
          <w:szCs w:val="24"/>
        </w:rPr>
      </w:pPr>
      <w:r>
        <w:rPr>
          <w:b/>
          <w:bCs/>
          <w:sz w:val="24"/>
          <w:szCs w:val="24"/>
        </w:rPr>
        <w:t xml:space="preserve">3.5 </w:t>
      </w:r>
      <w:r w:rsidRPr="005849DC">
        <w:rPr>
          <w:b/>
          <w:bCs/>
          <w:sz w:val="24"/>
          <w:szCs w:val="24"/>
        </w:rPr>
        <w:t>Lane Reallocations</w:t>
      </w:r>
    </w:p>
    <w:p w14:paraId="6A931A79" w14:textId="77777777" w:rsidR="00824761" w:rsidRDefault="00824761" w:rsidP="00824761">
      <w:pPr>
        <w:pStyle w:val="BodyText"/>
        <w:ind w:left="810" w:right="239"/>
        <w:jc w:val="both"/>
      </w:pPr>
      <w:r>
        <w:t xml:space="preserve">Once pool lane allocations have been issued, additional pool time will be permitted only if space is available during the time requested. </w:t>
      </w:r>
    </w:p>
    <w:p w14:paraId="286B8806" w14:textId="77777777" w:rsidR="00824761" w:rsidRDefault="00824761" w:rsidP="00824761">
      <w:pPr>
        <w:pStyle w:val="BodyText"/>
        <w:ind w:left="810" w:right="239"/>
        <w:jc w:val="both"/>
      </w:pPr>
    </w:p>
    <w:p w14:paraId="404E0F84" w14:textId="77777777" w:rsidR="00824761" w:rsidRPr="005849DC" w:rsidRDefault="00824761" w:rsidP="00824761">
      <w:pPr>
        <w:pStyle w:val="BodyText"/>
        <w:ind w:right="239" w:firstLine="720"/>
        <w:jc w:val="both"/>
        <w:rPr>
          <w:b/>
          <w:bCs/>
        </w:rPr>
      </w:pPr>
      <w:r>
        <w:rPr>
          <w:b/>
          <w:bCs/>
        </w:rPr>
        <w:t>3.5.1</w:t>
      </w:r>
      <w:r w:rsidRPr="005849DC">
        <w:rPr>
          <w:b/>
          <w:bCs/>
        </w:rPr>
        <w:t xml:space="preserve"> Permit group partial and complete cancellations</w:t>
      </w:r>
    </w:p>
    <w:p w14:paraId="0DB623C8" w14:textId="12579AFA" w:rsidR="00824761" w:rsidRDefault="00824761" w:rsidP="00824761">
      <w:pPr>
        <w:pStyle w:val="BodyText"/>
        <w:ind w:left="1170" w:right="239"/>
        <w:jc w:val="both"/>
      </w:pPr>
      <w:r>
        <w:t xml:space="preserve">If a permit group notifies the </w:t>
      </w:r>
      <w:proofErr w:type="gramStart"/>
      <w:r>
        <w:t>City</w:t>
      </w:r>
      <w:proofErr w:type="gramEnd"/>
      <w:r>
        <w:t xml:space="preserve"> staff that they will not be using some or all of their allocated lanes ahead of time, City staff will notify permit holders via email of the lane availability.  The lanes will be reallocated </w:t>
      </w:r>
      <w:r w:rsidR="00096C38">
        <w:t>by the order outlined in the Priority Use System in section 2.</w:t>
      </w:r>
    </w:p>
    <w:p w14:paraId="03108E3B" w14:textId="77777777" w:rsidR="00824761" w:rsidRDefault="00824761" w:rsidP="00824761">
      <w:pPr>
        <w:pStyle w:val="BodyText"/>
        <w:ind w:left="1800" w:right="239"/>
        <w:jc w:val="both"/>
      </w:pPr>
    </w:p>
    <w:p w14:paraId="073FBEAA" w14:textId="77777777" w:rsidR="00824761" w:rsidRPr="005849DC" w:rsidRDefault="00824761" w:rsidP="00824761">
      <w:pPr>
        <w:pStyle w:val="BodyText"/>
        <w:ind w:left="1170" w:right="239"/>
        <w:jc w:val="both"/>
        <w:rPr>
          <w:b/>
          <w:bCs/>
        </w:rPr>
      </w:pPr>
      <w:r>
        <w:rPr>
          <w:b/>
          <w:bCs/>
        </w:rPr>
        <w:t>3.6.2 Billing for reallocated lanes</w:t>
      </w:r>
    </w:p>
    <w:p w14:paraId="33823B2D" w14:textId="77777777" w:rsidR="00824761" w:rsidRDefault="00824761" w:rsidP="00824761">
      <w:pPr>
        <w:pStyle w:val="BodyText"/>
        <w:ind w:left="1170" w:right="239"/>
        <w:jc w:val="both"/>
      </w:pPr>
      <w:r>
        <w:t xml:space="preserve">If a permit group gives less than 14 days’ notice for cancelling their permit lanes, they will be billed for those lanes unless they are reallocated to another permit group ahead of time and the permit group picking up the lanes will be charged for the lanes used.  If the lanes are reallocated with </w:t>
      </w:r>
      <w:r>
        <w:lastRenderedPageBreak/>
        <w:t>little or no notice, the original permit group will still be charged for the lanes.</w:t>
      </w:r>
    </w:p>
    <w:p w14:paraId="262508C3" w14:textId="77777777" w:rsidR="00824761" w:rsidRDefault="00824761" w:rsidP="00824761">
      <w:pPr>
        <w:pStyle w:val="BodyText"/>
        <w:ind w:left="1170" w:right="239"/>
        <w:jc w:val="both"/>
      </w:pPr>
    </w:p>
    <w:p w14:paraId="75CDEB64" w14:textId="77777777" w:rsidR="00824761" w:rsidRDefault="00824761" w:rsidP="00824761">
      <w:pPr>
        <w:widowControl/>
        <w:autoSpaceDE/>
        <w:autoSpaceDN/>
        <w:ind w:left="450"/>
        <w:rPr>
          <w:b/>
          <w:bCs/>
          <w:sz w:val="24"/>
          <w:szCs w:val="24"/>
        </w:rPr>
      </w:pPr>
      <w:r w:rsidRPr="009B2EDC">
        <w:rPr>
          <w:b/>
          <w:bCs/>
          <w:sz w:val="24"/>
          <w:szCs w:val="24"/>
        </w:rPr>
        <w:t>3.</w:t>
      </w:r>
      <w:r>
        <w:rPr>
          <w:b/>
          <w:bCs/>
          <w:sz w:val="24"/>
          <w:szCs w:val="24"/>
        </w:rPr>
        <w:t>8</w:t>
      </w:r>
      <w:r w:rsidRPr="009B2EDC">
        <w:rPr>
          <w:b/>
          <w:bCs/>
          <w:sz w:val="24"/>
          <w:szCs w:val="24"/>
        </w:rPr>
        <w:t xml:space="preserve"> </w:t>
      </w:r>
      <w:r>
        <w:rPr>
          <w:b/>
          <w:bCs/>
          <w:sz w:val="24"/>
          <w:szCs w:val="24"/>
        </w:rPr>
        <w:t>Dispute Resolution Process</w:t>
      </w:r>
    </w:p>
    <w:p w14:paraId="77CC5143" w14:textId="77777777" w:rsidR="00824761" w:rsidRPr="005849DC" w:rsidRDefault="00824761" w:rsidP="00824761">
      <w:pPr>
        <w:pStyle w:val="BodyText"/>
        <w:spacing w:before="9"/>
        <w:ind w:left="900"/>
      </w:pPr>
      <w:r>
        <w:t>If a permit group has issues with their lane allocations, they should first address them with City Staff. If their issues are not resolved to their satisfaction, the permit group can make a request to City staff to include a discussion item on the next regular Aquatics Subcommittee meeting or hold a special meeting to address the issue.</w:t>
      </w:r>
    </w:p>
    <w:p w14:paraId="745673F1" w14:textId="77777777" w:rsidR="00824761" w:rsidRPr="005849DC" w:rsidRDefault="00824761" w:rsidP="00824761">
      <w:pPr>
        <w:widowControl/>
        <w:autoSpaceDE/>
        <w:autoSpaceDN/>
        <w:spacing w:before="9"/>
        <w:rPr>
          <w:sz w:val="23"/>
        </w:rPr>
      </w:pPr>
    </w:p>
    <w:p w14:paraId="33AAE774" w14:textId="77777777" w:rsidR="00824761" w:rsidRDefault="00824761" w:rsidP="00824761">
      <w:pPr>
        <w:pStyle w:val="Heading1"/>
      </w:pPr>
      <w:r>
        <w:rPr>
          <w:u w:val="thick"/>
        </w:rPr>
        <w:t>Non-Profit Status</w:t>
      </w:r>
    </w:p>
    <w:p w14:paraId="3E7E0D34" w14:textId="77777777" w:rsidR="00824761" w:rsidRDefault="00824761" w:rsidP="00824761">
      <w:pPr>
        <w:pStyle w:val="BodyText"/>
        <w:ind w:left="140" w:right="135"/>
        <w:jc w:val="both"/>
      </w:pPr>
      <w:proofErr w:type="gramStart"/>
      <w:r>
        <w:t>In order to</w:t>
      </w:r>
      <w:proofErr w:type="gramEnd"/>
      <w:r>
        <w:t xml:space="preserve"> be classified as a non-profit organization, verification demonstrating good standing with the state of California is required by June 30</w:t>
      </w:r>
      <w:r>
        <w:rPr>
          <w:vertAlign w:val="superscript"/>
        </w:rPr>
        <w:t>th</w:t>
      </w:r>
      <w:r>
        <w:t xml:space="preserve"> of each year for returning organizations and at the time of permit application submission for new applicants. City staff will verify an organization’s status.</w:t>
      </w:r>
    </w:p>
    <w:p w14:paraId="574F2C8F" w14:textId="77777777" w:rsidR="00824761" w:rsidRDefault="00824761" w:rsidP="00824761">
      <w:pPr>
        <w:pStyle w:val="BodyText"/>
      </w:pPr>
    </w:p>
    <w:p w14:paraId="136D50C1" w14:textId="77777777" w:rsidR="00824761" w:rsidRDefault="00824761" w:rsidP="00824761">
      <w:pPr>
        <w:pStyle w:val="Heading1"/>
      </w:pPr>
      <w:r>
        <w:rPr>
          <w:u w:val="thick"/>
        </w:rPr>
        <w:t>Application Process and Timeline</w:t>
      </w:r>
    </w:p>
    <w:p w14:paraId="63BFB7AE" w14:textId="53FCABA1" w:rsidR="00824761" w:rsidRDefault="00824761" w:rsidP="00824761">
      <w:pPr>
        <w:pStyle w:val="BodyText"/>
        <w:ind w:right="234"/>
        <w:jc w:val="both"/>
      </w:pPr>
      <w:r>
        <w:t xml:space="preserve">Applications for pool permits will be accepted three times per year for priority processing. Application/permit dates are approximate and may be adjusted based on school calendars and/or staff schedules. Permitting periods may vary each year </w:t>
      </w:r>
      <w:r w:rsidR="00545B7D">
        <w:t>to</w:t>
      </w:r>
      <w:r>
        <w:t xml:space="preserve"> adhere to the ESUSD and WUSD swim schedules.</w:t>
      </w:r>
    </w:p>
    <w:p w14:paraId="4CF6778F" w14:textId="77777777" w:rsidR="00824761" w:rsidRDefault="00824761" w:rsidP="00824761">
      <w:pPr>
        <w:pStyle w:val="BodyText"/>
        <w:ind w:left="140" w:right="234"/>
        <w:jc w:val="both"/>
      </w:pPr>
    </w:p>
    <w:p w14:paraId="265591A0" w14:textId="77777777" w:rsidR="00824761" w:rsidRDefault="00824761" w:rsidP="00824761">
      <w:pPr>
        <w:pStyle w:val="BodyText"/>
        <w:ind w:left="140" w:right="234"/>
        <w:jc w:val="both"/>
      </w:pPr>
      <w:r>
        <w:t>Hours requested on the permit application are to include warm up and cool down time.  Permits requested after the application deadline for each permitting period will be issued on a space availability basis.</w:t>
      </w:r>
    </w:p>
    <w:p w14:paraId="3BC07773" w14:textId="77777777" w:rsidR="00824761" w:rsidRDefault="00824761" w:rsidP="00824761">
      <w:pPr>
        <w:pStyle w:val="BodyText"/>
        <w:spacing w:before="67"/>
        <w:ind w:left="140" w:right="136"/>
        <w:jc w:val="both"/>
      </w:pPr>
    </w:p>
    <w:tbl>
      <w:tblPr>
        <w:tblStyle w:val="TableGrid"/>
        <w:tblW w:w="0" w:type="auto"/>
        <w:tblInd w:w="140" w:type="dxa"/>
        <w:tblLook w:val="04A0" w:firstRow="1" w:lastRow="0" w:firstColumn="1" w:lastColumn="0" w:noHBand="0" w:noVBand="1"/>
      </w:tblPr>
      <w:tblGrid>
        <w:gridCol w:w="1583"/>
        <w:gridCol w:w="1433"/>
        <w:gridCol w:w="1667"/>
        <w:gridCol w:w="1681"/>
        <w:gridCol w:w="1183"/>
        <w:gridCol w:w="1663"/>
      </w:tblGrid>
      <w:tr w:rsidR="00824761" w:rsidRPr="00C728A8" w14:paraId="41E90FDD" w14:textId="77777777" w:rsidTr="008205DD">
        <w:tc>
          <w:tcPr>
            <w:tcW w:w="1598" w:type="dxa"/>
          </w:tcPr>
          <w:p w14:paraId="61B345D3" w14:textId="77777777" w:rsidR="00824761" w:rsidRPr="005849DC" w:rsidRDefault="00824761" w:rsidP="008205DD">
            <w:pPr>
              <w:pStyle w:val="BodyText"/>
              <w:spacing w:before="67"/>
              <w:ind w:right="136"/>
              <w:jc w:val="both"/>
              <w:rPr>
                <w:b/>
                <w:bCs/>
                <w:sz w:val="18"/>
                <w:szCs w:val="18"/>
              </w:rPr>
            </w:pPr>
          </w:p>
        </w:tc>
        <w:tc>
          <w:tcPr>
            <w:tcW w:w="1407" w:type="dxa"/>
          </w:tcPr>
          <w:p w14:paraId="358AA1B2" w14:textId="77777777" w:rsidR="00824761" w:rsidRPr="005849DC" w:rsidRDefault="00824761" w:rsidP="008205DD">
            <w:pPr>
              <w:pStyle w:val="BodyText"/>
              <w:spacing w:before="67"/>
              <w:ind w:right="136"/>
              <w:jc w:val="both"/>
              <w:rPr>
                <w:b/>
                <w:bCs/>
                <w:sz w:val="18"/>
                <w:szCs w:val="18"/>
              </w:rPr>
            </w:pPr>
            <w:r w:rsidRPr="005849DC">
              <w:rPr>
                <w:b/>
                <w:bCs/>
                <w:sz w:val="18"/>
                <w:szCs w:val="18"/>
              </w:rPr>
              <w:t xml:space="preserve">Applications </w:t>
            </w:r>
          </w:p>
          <w:p w14:paraId="2269EEAD" w14:textId="77777777" w:rsidR="00824761" w:rsidRPr="005849DC" w:rsidRDefault="00824761" w:rsidP="008205DD">
            <w:pPr>
              <w:pStyle w:val="BodyText"/>
              <w:spacing w:before="67"/>
              <w:ind w:right="136"/>
              <w:jc w:val="both"/>
              <w:rPr>
                <w:b/>
                <w:bCs/>
                <w:sz w:val="18"/>
                <w:szCs w:val="18"/>
              </w:rPr>
            </w:pPr>
            <w:r w:rsidRPr="005849DC">
              <w:rPr>
                <w:b/>
                <w:bCs/>
                <w:sz w:val="18"/>
                <w:szCs w:val="18"/>
              </w:rPr>
              <w:t>Available</w:t>
            </w:r>
          </w:p>
        </w:tc>
        <w:tc>
          <w:tcPr>
            <w:tcW w:w="1762" w:type="dxa"/>
          </w:tcPr>
          <w:p w14:paraId="54F6217D" w14:textId="77777777" w:rsidR="00824761" w:rsidRPr="005849DC" w:rsidRDefault="00824761" w:rsidP="008205DD">
            <w:pPr>
              <w:pStyle w:val="BodyText"/>
              <w:spacing w:before="67"/>
              <w:ind w:right="136"/>
              <w:jc w:val="both"/>
              <w:rPr>
                <w:b/>
                <w:bCs/>
                <w:sz w:val="18"/>
                <w:szCs w:val="18"/>
              </w:rPr>
            </w:pPr>
            <w:r w:rsidRPr="005849DC">
              <w:rPr>
                <w:b/>
                <w:bCs/>
                <w:sz w:val="18"/>
                <w:szCs w:val="18"/>
              </w:rPr>
              <w:t>Application</w:t>
            </w:r>
          </w:p>
          <w:p w14:paraId="016F8C8F" w14:textId="77777777" w:rsidR="00824761" w:rsidRPr="005849DC" w:rsidRDefault="00824761" w:rsidP="008205DD">
            <w:pPr>
              <w:pStyle w:val="BodyText"/>
              <w:spacing w:before="67"/>
              <w:ind w:right="136"/>
              <w:jc w:val="both"/>
              <w:rPr>
                <w:b/>
                <w:bCs/>
                <w:sz w:val="18"/>
                <w:szCs w:val="18"/>
              </w:rPr>
            </w:pPr>
            <w:r w:rsidRPr="005849DC">
              <w:rPr>
                <w:b/>
                <w:bCs/>
                <w:sz w:val="18"/>
                <w:szCs w:val="18"/>
              </w:rPr>
              <w:t>Deadline</w:t>
            </w:r>
          </w:p>
        </w:tc>
        <w:tc>
          <w:tcPr>
            <w:tcW w:w="1741" w:type="dxa"/>
          </w:tcPr>
          <w:p w14:paraId="2F6FFCC0" w14:textId="77777777" w:rsidR="00824761" w:rsidRDefault="00824761" w:rsidP="008205DD">
            <w:pPr>
              <w:pStyle w:val="BodyText"/>
              <w:spacing w:before="67"/>
              <w:ind w:right="136"/>
              <w:jc w:val="both"/>
              <w:rPr>
                <w:b/>
                <w:bCs/>
                <w:sz w:val="18"/>
                <w:szCs w:val="18"/>
              </w:rPr>
            </w:pPr>
            <w:r w:rsidRPr="005849DC">
              <w:rPr>
                <w:b/>
                <w:bCs/>
                <w:sz w:val="18"/>
                <w:szCs w:val="18"/>
              </w:rPr>
              <w:t>Review/</w:t>
            </w:r>
          </w:p>
          <w:p w14:paraId="7640316E" w14:textId="77777777" w:rsidR="00824761" w:rsidRPr="005849DC" w:rsidRDefault="00824761" w:rsidP="008205DD">
            <w:pPr>
              <w:pStyle w:val="BodyText"/>
              <w:spacing w:before="67"/>
              <w:ind w:right="136"/>
              <w:jc w:val="both"/>
              <w:rPr>
                <w:b/>
                <w:bCs/>
                <w:sz w:val="18"/>
                <w:szCs w:val="18"/>
              </w:rPr>
            </w:pPr>
            <w:r w:rsidRPr="005849DC">
              <w:rPr>
                <w:b/>
                <w:bCs/>
                <w:sz w:val="18"/>
                <w:szCs w:val="18"/>
              </w:rPr>
              <w:t>Confirmation</w:t>
            </w:r>
          </w:p>
          <w:p w14:paraId="17B552F2" w14:textId="77777777" w:rsidR="00824761" w:rsidRPr="005849DC" w:rsidRDefault="00824761" w:rsidP="008205DD">
            <w:pPr>
              <w:pStyle w:val="BodyText"/>
              <w:spacing w:before="67"/>
              <w:ind w:right="136"/>
              <w:jc w:val="both"/>
              <w:rPr>
                <w:b/>
                <w:bCs/>
                <w:sz w:val="18"/>
                <w:szCs w:val="18"/>
              </w:rPr>
            </w:pPr>
            <w:r w:rsidRPr="005849DC">
              <w:rPr>
                <w:b/>
                <w:bCs/>
                <w:sz w:val="18"/>
                <w:szCs w:val="18"/>
              </w:rPr>
              <w:t>Of Allocations</w:t>
            </w:r>
          </w:p>
        </w:tc>
        <w:tc>
          <w:tcPr>
            <w:tcW w:w="1183" w:type="dxa"/>
          </w:tcPr>
          <w:p w14:paraId="223BC118" w14:textId="77777777" w:rsidR="00824761" w:rsidRPr="005849DC" w:rsidRDefault="00824761" w:rsidP="008205DD">
            <w:pPr>
              <w:pStyle w:val="BodyText"/>
              <w:spacing w:before="67"/>
              <w:ind w:right="136"/>
              <w:jc w:val="both"/>
              <w:rPr>
                <w:b/>
                <w:bCs/>
                <w:sz w:val="18"/>
                <w:szCs w:val="18"/>
              </w:rPr>
            </w:pPr>
            <w:r w:rsidRPr="005849DC">
              <w:rPr>
                <w:b/>
                <w:bCs/>
                <w:sz w:val="18"/>
                <w:szCs w:val="18"/>
              </w:rPr>
              <w:t>Permits</w:t>
            </w:r>
          </w:p>
          <w:p w14:paraId="696B6B84" w14:textId="77777777" w:rsidR="00824761" w:rsidRPr="005849DC" w:rsidRDefault="00824761" w:rsidP="008205DD">
            <w:pPr>
              <w:pStyle w:val="BodyText"/>
              <w:spacing w:before="67"/>
              <w:ind w:right="136"/>
              <w:jc w:val="both"/>
              <w:rPr>
                <w:b/>
                <w:bCs/>
                <w:sz w:val="18"/>
                <w:szCs w:val="18"/>
              </w:rPr>
            </w:pPr>
            <w:r w:rsidRPr="005849DC">
              <w:rPr>
                <w:b/>
                <w:bCs/>
                <w:sz w:val="18"/>
                <w:szCs w:val="18"/>
              </w:rPr>
              <w:t>Issued</w:t>
            </w:r>
          </w:p>
        </w:tc>
        <w:tc>
          <w:tcPr>
            <w:tcW w:w="1799" w:type="dxa"/>
          </w:tcPr>
          <w:p w14:paraId="590890D3" w14:textId="77777777" w:rsidR="00824761" w:rsidRPr="005849DC" w:rsidRDefault="00824761" w:rsidP="008205DD">
            <w:pPr>
              <w:pStyle w:val="BodyText"/>
              <w:spacing w:before="67"/>
              <w:ind w:right="136"/>
              <w:jc w:val="both"/>
              <w:rPr>
                <w:b/>
                <w:bCs/>
                <w:sz w:val="18"/>
                <w:szCs w:val="18"/>
              </w:rPr>
            </w:pPr>
            <w:r w:rsidRPr="005849DC">
              <w:rPr>
                <w:b/>
                <w:bCs/>
                <w:sz w:val="18"/>
                <w:szCs w:val="18"/>
              </w:rPr>
              <w:t>Permit</w:t>
            </w:r>
          </w:p>
          <w:p w14:paraId="38A8E1BE" w14:textId="77777777" w:rsidR="00824761" w:rsidRPr="005849DC" w:rsidRDefault="00824761" w:rsidP="008205DD">
            <w:pPr>
              <w:pStyle w:val="BodyText"/>
              <w:spacing w:before="67"/>
              <w:ind w:right="136"/>
              <w:jc w:val="both"/>
              <w:rPr>
                <w:b/>
                <w:bCs/>
                <w:sz w:val="18"/>
                <w:szCs w:val="18"/>
              </w:rPr>
            </w:pPr>
            <w:r w:rsidRPr="005849DC">
              <w:rPr>
                <w:b/>
                <w:bCs/>
                <w:sz w:val="18"/>
                <w:szCs w:val="18"/>
              </w:rPr>
              <w:t>Period</w:t>
            </w:r>
          </w:p>
        </w:tc>
      </w:tr>
      <w:tr w:rsidR="00824761" w:rsidRPr="00C728A8" w14:paraId="4DD81648" w14:textId="77777777" w:rsidTr="008205DD">
        <w:tc>
          <w:tcPr>
            <w:tcW w:w="1598" w:type="dxa"/>
          </w:tcPr>
          <w:p w14:paraId="251262F5" w14:textId="77777777" w:rsidR="00824761" w:rsidRPr="005849DC" w:rsidRDefault="00824761" w:rsidP="008205DD">
            <w:pPr>
              <w:pStyle w:val="BodyText"/>
              <w:spacing w:before="67"/>
              <w:ind w:right="136"/>
              <w:jc w:val="both"/>
              <w:rPr>
                <w:b/>
                <w:bCs/>
                <w:sz w:val="18"/>
                <w:szCs w:val="18"/>
              </w:rPr>
            </w:pPr>
            <w:r w:rsidRPr="005849DC">
              <w:rPr>
                <w:b/>
                <w:bCs/>
                <w:sz w:val="18"/>
                <w:szCs w:val="18"/>
              </w:rPr>
              <w:t>Summer</w:t>
            </w:r>
          </w:p>
        </w:tc>
        <w:tc>
          <w:tcPr>
            <w:tcW w:w="1407" w:type="dxa"/>
          </w:tcPr>
          <w:p w14:paraId="4D6B2A65" w14:textId="77777777" w:rsidR="00824761" w:rsidRPr="005849DC" w:rsidRDefault="00824761" w:rsidP="008205DD">
            <w:pPr>
              <w:pStyle w:val="BodyText"/>
              <w:spacing w:before="67"/>
              <w:ind w:right="136"/>
              <w:jc w:val="both"/>
              <w:rPr>
                <w:sz w:val="18"/>
                <w:szCs w:val="18"/>
              </w:rPr>
            </w:pPr>
            <w:r>
              <w:rPr>
                <w:sz w:val="18"/>
                <w:szCs w:val="18"/>
              </w:rPr>
              <w:t>Early April</w:t>
            </w:r>
          </w:p>
        </w:tc>
        <w:tc>
          <w:tcPr>
            <w:tcW w:w="1762" w:type="dxa"/>
          </w:tcPr>
          <w:p w14:paraId="234632EB" w14:textId="77777777" w:rsidR="00824761" w:rsidRPr="005849DC" w:rsidRDefault="00824761" w:rsidP="008205DD">
            <w:pPr>
              <w:pStyle w:val="BodyText"/>
              <w:spacing w:before="67"/>
              <w:ind w:right="136"/>
              <w:jc w:val="both"/>
              <w:rPr>
                <w:sz w:val="18"/>
                <w:szCs w:val="18"/>
              </w:rPr>
            </w:pPr>
            <w:r>
              <w:rPr>
                <w:sz w:val="18"/>
                <w:szCs w:val="18"/>
              </w:rPr>
              <w:t>Mid-April</w:t>
            </w:r>
          </w:p>
        </w:tc>
        <w:tc>
          <w:tcPr>
            <w:tcW w:w="1741" w:type="dxa"/>
          </w:tcPr>
          <w:p w14:paraId="571C2D1F" w14:textId="77777777" w:rsidR="00824761" w:rsidRPr="005849DC" w:rsidRDefault="00824761" w:rsidP="008205DD">
            <w:pPr>
              <w:pStyle w:val="BodyText"/>
              <w:spacing w:before="67"/>
              <w:ind w:right="136"/>
              <w:jc w:val="both"/>
              <w:rPr>
                <w:sz w:val="18"/>
                <w:szCs w:val="18"/>
              </w:rPr>
            </w:pPr>
            <w:r>
              <w:rPr>
                <w:sz w:val="18"/>
                <w:szCs w:val="18"/>
              </w:rPr>
              <w:t>Early to Mid-May</w:t>
            </w:r>
          </w:p>
        </w:tc>
        <w:tc>
          <w:tcPr>
            <w:tcW w:w="1183" w:type="dxa"/>
          </w:tcPr>
          <w:p w14:paraId="6EFBF09A" w14:textId="77777777" w:rsidR="00824761" w:rsidRPr="005849DC" w:rsidRDefault="00824761" w:rsidP="008205DD">
            <w:pPr>
              <w:pStyle w:val="BodyText"/>
              <w:spacing w:before="67"/>
              <w:ind w:right="136"/>
              <w:jc w:val="both"/>
              <w:rPr>
                <w:sz w:val="18"/>
                <w:szCs w:val="18"/>
              </w:rPr>
            </w:pPr>
            <w:r>
              <w:rPr>
                <w:sz w:val="18"/>
                <w:szCs w:val="18"/>
              </w:rPr>
              <w:t>Mid-May</w:t>
            </w:r>
          </w:p>
        </w:tc>
        <w:tc>
          <w:tcPr>
            <w:tcW w:w="1799" w:type="dxa"/>
          </w:tcPr>
          <w:p w14:paraId="524A24D4" w14:textId="77777777" w:rsidR="00824761" w:rsidRDefault="00824761" w:rsidP="008205DD">
            <w:pPr>
              <w:pStyle w:val="BodyText"/>
              <w:spacing w:before="67"/>
              <w:ind w:right="136"/>
              <w:jc w:val="both"/>
              <w:rPr>
                <w:sz w:val="18"/>
                <w:szCs w:val="18"/>
              </w:rPr>
            </w:pPr>
            <w:r>
              <w:rPr>
                <w:sz w:val="18"/>
                <w:szCs w:val="18"/>
              </w:rPr>
              <w:t>Mid-June to</w:t>
            </w:r>
          </w:p>
          <w:p w14:paraId="0173AD9D" w14:textId="77777777" w:rsidR="00824761" w:rsidRPr="005849DC" w:rsidRDefault="00824761" w:rsidP="008205DD">
            <w:pPr>
              <w:pStyle w:val="BodyText"/>
              <w:spacing w:before="67"/>
              <w:ind w:right="136"/>
              <w:jc w:val="both"/>
              <w:rPr>
                <w:sz w:val="18"/>
                <w:szCs w:val="18"/>
              </w:rPr>
            </w:pPr>
            <w:r>
              <w:rPr>
                <w:sz w:val="18"/>
                <w:szCs w:val="18"/>
              </w:rPr>
              <w:t>Mid-August</w:t>
            </w:r>
          </w:p>
        </w:tc>
      </w:tr>
      <w:tr w:rsidR="00824761" w:rsidRPr="00C728A8" w14:paraId="24715843" w14:textId="77777777" w:rsidTr="008205DD">
        <w:tc>
          <w:tcPr>
            <w:tcW w:w="1598" w:type="dxa"/>
          </w:tcPr>
          <w:p w14:paraId="75DBB57A" w14:textId="77777777" w:rsidR="00824761" w:rsidRPr="005849DC" w:rsidRDefault="00824761" w:rsidP="008205DD">
            <w:pPr>
              <w:pStyle w:val="BodyText"/>
              <w:spacing w:before="67"/>
              <w:ind w:right="136"/>
              <w:jc w:val="both"/>
              <w:rPr>
                <w:b/>
                <w:bCs/>
                <w:sz w:val="18"/>
                <w:szCs w:val="18"/>
              </w:rPr>
            </w:pPr>
            <w:r w:rsidRPr="005849DC">
              <w:rPr>
                <w:b/>
                <w:bCs/>
                <w:sz w:val="18"/>
                <w:szCs w:val="18"/>
              </w:rPr>
              <w:t>Fall/Winter</w:t>
            </w:r>
          </w:p>
        </w:tc>
        <w:tc>
          <w:tcPr>
            <w:tcW w:w="1407" w:type="dxa"/>
          </w:tcPr>
          <w:p w14:paraId="08CDEF27" w14:textId="77777777" w:rsidR="00824761" w:rsidRPr="005849DC" w:rsidRDefault="00824761" w:rsidP="008205DD">
            <w:pPr>
              <w:pStyle w:val="BodyText"/>
              <w:spacing w:before="67"/>
              <w:ind w:right="136"/>
              <w:jc w:val="both"/>
              <w:rPr>
                <w:sz w:val="18"/>
                <w:szCs w:val="18"/>
              </w:rPr>
            </w:pPr>
            <w:r>
              <w:rPr>
                <w:sz w:val="18"/>
                <w:szCs w:val="18"/>
              </w:rPr>
              <w:t>Mid-June</w:t>
            </w:r>
          </w:p>
        </w:tc>
        <w:tc>
          <w:tcPr>
            <w:tcW w:w="1762" w:type="dxa"/>
          </w:tcPr>
          <w:p w14:paraId="5F5C58F3" w14:textId="77777777" w:rsidR="00824761" w:rsidRPr="005849DC" w:rsidRDefault="00824761" w:rsidP="008205DD">
            <w:pPr>
              <w:pStyle w:val="BodyText"/>
              <w:spacing w:before="67"/>
              <w:ind w:right="136"/>
              <w:jc w:val="both"/>
              <w:rPr>
                <w:sz w:val="18"/>
                <w:szCs w:val="18"/>
              </w:rPr>
            </w:pPr>
            <w:r>
              <w:rPr>
                <w:sz w:val="18"/>
                <w:szCs w:val="18"/>
              </w:rPr>
              <w:t>Late June</w:t>
            </w:r>
          </w:p>
        </w:tc>
        <w:tc>
          <w:tcPr>
            <w:tcW w:w="1741" w:type="dxa"/>
          </w:tcPr>
          <w:p w14:paraId="74CD3B70" w14:textId="77777777" w:rsidR="00824761" w:rsidRPr="005849DC" w:rsidRDefault="00824761" w:rsidP="008205DD">
            <w:pPr>
              <w:pStyle w:val="BodyText"/>
              <w:spacing w:before="67"/>
              <w:ind w:right="136"/>
              <w:jc w:val="both"/>
              <w:rPr>
                <w:sz w:val="18"/>
                <w:szCs w:val="18"/>
              </w:rPr>
            </w:pPr>
            <w:r>
              <w:rPr>
                <w:sz w:val="18"/>
                <w:szCs w:val="18"/>
              </w:rPr>
              <w:t>Early to Mid-July</w:t>
            </w:r>
          </w:p>
        </w:tc>
        <w:tc>
          <w:tcPr>
            <w:tcW w:w="1183" w:type="dxa"/>
          </w:tcPr>
          <w:p w14:paraId="006E3DBD" w14:textId="67B9270B" w:rsidR="00824761" w:rsidRPr="005849DC" w:rsidRDefault="00824761" w:rsidP="008205DD">
            <w:pPr>
              <w:pStyle w:val="BodyText"/>
              <w:spacing w:before="67"/>
              <w:ind w:right="136"/>
              <w:jc w:val="both"/>
              <w:rPr>
                <w:sz w:val="18"/>
                <w:szCs w:val="18"/>
              </w:rPr>
            </w:pPr>
            <w:r>
              <w:rPr>
                <w:sz w:val="18"/>
                <w:szCs w:val="18"/>
              </w:rPr>
              <w:t>Mid/</w:t>
            </w:r>
            <w:r w:rsidR="00545B7D">
              <w:rPr>
                <w:sz w:val="18"/>
                <w:szCs w:val="18"/>
              </w:rPr>
              <w:t>Late July</w:t>
            </w:r>
          </w:p>
        </w:tc>
        <w:tc>
          <w:tcPr>
            <w:tcW w:w="1799" w:type="dxa"/>
          </w:tcPr>
          <w:p w14:paraId="20432D7D" w14:textId="77777777" w:rsidR="00824761" w:rsidRDefault="00824761" w:rsidP="008205DD">
            <w:pPr>
              <w:pStyle w:val="BodyText"/>
              <w:spacing w:before="67"/>
              <w:ind w:right="136"/>
              <w:jc w:val="both"/>
              <w:rPr>
                <w:sz w:val="18"/>
                <w:szCs w:val="18"/>
              </w:rPr>
            </w:pPr>
            <w:r>
              <w:rPr>
                <w:sz w:val="18"/>
                <w:szCs w:val="18"/>
              </w:rPr>
              <w:t>Mid-August to</w:t>
            </w:r>
          </w:p>
          <w:p w14:paraId="4C34E63C" w14:textId="77777777" w:rsidR="00824761" w:rsidRPr="005849DC" w:rsidRDefault="00824761" w:rsidP="008205DD">
            <w:pPr>
              <w:pStyle w:val="BodyText"/>
              <w:spacing w:before="67"/>
              <w:ind w:right="136"/>
              <w:jc w:val="both"/>
              <w:rPr>
                <w:sz w:val="18"/>
                <w:szCs w:val="18"/>
              </w:rPr>
            </w:pPr>
            <w:r>
              <w:rPr>
                <w:sz w:val="18"/>
                <w:szCs w:val="18"/>
              </w:rPr>
              <w:t>End of December</w:t>
            </w:r>
          </w:p>
        </w:tc>
      </w:tr>
      <w:tr w:rsidR="00824761" w:rsidRPr="00C728A8" w14:paraId="5F16A744" w14:textId="77777777" w:rsidTr="008205DD">
        <w:tc>
          <w:tcPr>
            <w:tcW w:w="1598" w:type="dxa"/>
          </w:tcPr>
          <w:p w14:paraId="2B53D703" w14:textId="77777777" w:rsidR="00824761" w:rsidRPr="005849DC" w:rsidRDefault="00824761" w:rsidP="008205DD">
            <w:pPr>
              <w:pStyle w:val="BodyText"/>
              <w:spacing w:before="67"/>
              <w:ind w:right="136"/>
              <w:jc w:val="both"/>
              <w:rPr>
                <w:b/>
                <w:bCs/>
                <w:sz w:val="18"/>
                <w:szCs w:val="18"/>
              </w:rPr>
            </w:pPr>
            <w:r w:rsidRPr="005849DC">
              <w:rPr>
                <w:b/>
                <w:bCs/>
                <w:sz w:val="18"/>
                <w:szCs w:val="18"/>
              </w:rPr>
              <w:t>Winter/Spring</w:t>
            </w:r>
          </w:p>
        </w:tc>
        <w:tc>
          <w:tcPr>
            <w:tcW w:w="1407" w:type="dxa"/>
          </w:tcPr>
          <w:p w14:paraId="4A6C4B4E" w14:textId="77777777" w:rsidR="00824761" w:rsidRPr="005849DC" w:rsidRDefault="00824761" w:rsidP="008205DD">
            <w:pPr>
              <w:pStyle w:val="BodyText"/>
              <w:spacing w:before="67"/>
              <w:ind w:right="136"/>
              <w:jc w:val="both"/>
              <w:rPr>
                <w:sz w:val="18"/>
                <w:szCs w:val="18"/>
              </w:rPr>
            </w:pPr>
            <w:r>
              <w:rPr>
                <w:sz w:val="18"/>
                <w:szCs w:val="18"/>
              </w:rPr>
              <w:t>Early November</w:t>
            </w:r>
          </w:p>
        </w:tc>
        <w:tc>
          <w:tcPr>
            <w:tcW w:w="1762" w:type="dxa"/>
          </w:tcPr>
          <w:p w14:paraId="3791D889" w14:textId="77777777" w:rsidR="00824761" w:rsidRPr="005849DC" w:rsidRDefault="00824761" w:rsidP="008205DD">
            <w:pPr>
              <w:pStyle w:val="BodyText"/>
              <w:spacing w:before="67"/>
              <w:ind w:right="136"/>
              <w:jc w:val="both"/>
              <w:rPr>
                <w:sz w:val="18"/>
                <w:szCs w:val="18"/>
              </w:rPr>
            </w:pPr>
            <w:r>
              <w:rPr>
                <w:sz w:val="18"/>
                <w:szCs w:val="18"/>
              </w:rPr>
              <w:t>Mid-November</w:t>
            </w:r>
          </w:p>
        </w:tc>
        <w:tc>
          <w:tcPr>
            <w:tcW w:w="1741" w:type="dxa"/>
          </w:tcPr>
          <w:p w14:paraId="712CDA81" w14:textId="77777777" w:rsidR="00824761" w:rsidRPr="005849DC" w:rsidRDefault="00824761" w:rsidP="008205DD">
            <w:pPr>
              <w:pStyle w:val="BodyText"/>
              <w:spacing w:before="67"/>
              <w:ind w:right="136"/>
              <w:jc w:val="both"/>
              <w:rPr>
                <w:sz w:val="18"/>
                <w:szCs w:val="18"/>
              </w:rPr>
            </w:pPr>
            <w:r>
              <w:rPr>
                <w:sz w:val="18"/>
                <w:szCs w:val="18"/>
              </w:rPr>
              <w:t>Late November</w:t>
            </w:r>
          </w:p>
        </w:tc>
        <w:tc>
          <w:tcPr>
            <w:tcW w:w="1183" w:type="dxa"/>
          </w:tcPr>
          <w:p w14:paraId="60C785CA" w14:textId="77777777" w:rsidR="00824761" w:rsidRPr="005849DC" w:rsidRDefault="00824761" w:rsidP="008205DD">
            <w:pPr>
              <w:pStyle w:val="BodyText"/>
              <w:spacing w:before="67"/>
              <w:ind w:right="136"/>
              <w:jc w:val="both"/>
              <w:rPr>
                <w:sz w:val="18"/>
                <w:szCs w:val="18"/>
              </w:rPr>
            </w:pPr>
            <w:r>
              <w:rPr>
                <w:sz w:val="18"/>
                <w:szCs w:val="18"/>
              </w:rPr>
              <w:t>Early/Mid-December</w:t>
            </w:r>
          </w:p>
        </w:tc>
        <w:tc>
          <w:tcPr>
            <w:tcW w:w="1799" w:type="dxa"/>
          </w:tcPr>
          <w:p w14:paraId="61648B32" w14:textId="77777777" w:rsidR="00824761" w:rsidRDefault="00824761" w:rsidP="008205DD">
            <w:pPr>
              <w:pStyle w:val="BodyText"/>
              <w:spacing w:before="67"/>
              <w:ind w:right="136"/>
              <w:jc w:val="both"/>
              <w:rPr>
                <w:sz w:val="18"/>
                <w:szCs w:val="18"/>
              </w:rPr>
            </w:pPr>
            <w:r>
              <w:rPr>
                <w:sz w:val="18"/>
                <w:szCs w:val="18"/>
              </w:rPr>
              <w:t>January to</w:t>
            </w:r>
          </w:p>
          <w:p w14:paraId="693CDDD2" w14:textId="77777777" w:rsidR="00824761" w:rsidRPr="005849DC" w:rsidRDefault="00824761" w:rsidP="008205DD">
            <w:pPr>
              <w:pStyle w:val="BodyText"/>
              <w:spacing w:before="67"/>
              <w:ind w:right="136"/>
              <w:jc w:val="both"/>
              <w:rPr>
                <w:sz w:val="18"/>
                <w:szCs w:val="18"/>
              </w:rPr>
            </w:pPr>
            <w:r>
              <w:rPr>
                <w:sz w:val="18"/>
                <w:szCs w:val="18"/>
              </w:rPr>
              <w:t>Mid-June</w:t>
            </w:r>
          </w:p>
        </w:tc>
      </w:tr>
    </w:tbl>
    <w:p w14:paraId="031BBDB7" w14:textId="77777777" w:rsidR="00824761" w:rsidRDefault="00824761" w:rsidP="00824761">
      <w:pPr>
        <w:pStyle w:val="BodyText"/>
        <w:spacing w:before="1"/>
      </w:pPr>
    </w:p>
    <w:p w14:paraId="5A49B912" w14:textId="77777777" w:rsidR="00824761" w:rsidRDefault="00824761" w:rsidP="00824761">
      <w:pPr>
        <w:pStyle w:val="Heading1"/>
      </w:pPr>
      <w:r>
        <w:rPr>
          <w:u w:val="thick"/>
        </w:rPr>
        <w:t>Cancellations</w:t>
      </w:r>
    </w:p>
    <w:p w14:paraId="594DCC18" w14:textId="77777777" w:rsidR="00824761" w:rsidRDefault="00824761" w:rsidP="00824761">
      <w:pPr>
        <w:pStyle w:val="BodyText"/>
        <w:ind w:left="140"/>
      </w:pPr>
      <w:r>
        <w:t>Credit for cancellations will only be given with two or more weeks’ advanced written notification to Aquatics Center staff.</w:t>
      </w:r>
    </w:p>
    <w:p w14:paraId="189B9C6C" w14:textId="77777777" w:rsidR="00824761" w:rsidRDefault="00824761" w:rsidP="00824761">
      <w:pPr>
        <w:pStyle w:val="BodyText"/>
        <w:ind w:left="140"/>
      </w:pPr>
    </w:p>
    <w:p w14:paraId="24CC9DB3" w14:textId="77777777" w:rsidR="00824761" w:rsidRPr="005849DC" w:rsidRDefault="00824761" w:rsidP="00824761">
      <w:pPr>
        <w:pStyle w:val="Heading1"/>
        <w:rPr>
          <w:u w:val="single"/>
        </w:rPr>
      </w:pPr>
      <w:r w:rsidRPr="005849DC">
        <w:rPr>
          <w:u w:val="single"/>
        </w:rPr>
        <w:t>Subletting</w:t>
      </w:r>
    </w:p>
    <w:p w14:paraId="088078A5" w14:textId="59A2C16B" w:rsidR="00B71FD0" w:rsidRDefault="00824761" w:rsidP="00824761">
      <w:r>
        <w:t>Permitted groups cannot sublet their allocated pool space to any other group and will be responsible for paying for all lanes permitted.</w:t>
      </w:r>
    </w:p>
    <w:p w14:paraId="0211D178" w14:textId="009DA165" w:rsidR="00824761" w:rsidRDefault="00824761" w:rsidP="00824761"/>
    <w:p w14:paraId="5476A40B" w14:textId="77777777" w:rsidR="00824761" w:rsidRDefault="00824761" w:rsidP="00824761">
      <w:pPr>
        <w:pStyle w:val="Heading1"/>
        <w:spacing w:before="1"/>
      </w:pPr>
      <w:bookmarkStart w:id="0" w:name="_Hlk159828813"/>
      <w:r>
        <w:rPr>
          <w:u w:val="thick"/>
        </w:rPr>
        <w:t>Payment</w:t>
      </w:r>
    </w:p>
    <w:p w14:paraId="27D41A66" w14:textId="3C3AEFA5" w:rsidR="00824761" w:rsidRDefault="00824761" w:rsidP="00824761">
      <w:pPr>
        <w:pStyle w:val="BodyText"/>
        <w:spacing w:before="92"/>
        <w:ind w:right="145"/>
        <w:jc w:val="both"/>
      </w:pPr>
      <w:r>
        <w:t xml:space="preserve">Organizations will be billed monthly with the estimated date the invoice is sent being the </w:t>
      </w:r>
      <w:r>
        <w:lastRenderedPageBreak/>
        <w:t>15</w:t>
      </w:r>
      <w:r w:rsidRPr="005849DC">
        <w:rPr>
          <w:vertAlign w:val="superscript"/>
        </w:rPr>
        <w:t>th</w:t>
      </w:r>
      <w:r>
        <w:t xml:space="preserve"> of the month. The payment is usually due on the last day of the month. Payment is considered delinquent if not received within thirty days of invoice date. Permits may be canceled with lanes reallocated and facility access denied if payment is not received on time. Late payments may also result in loss of priority standing for the following permitting season and a requirement for advance payment may be</w:t>
      </w:r>
      <w:r>
        <w:rPr>
          <w:spacing w:val="-2"/>
        </w:rPr>
        <w:t xml:space="preserve"> </w:t>
      </w:r>
      <w:r>
        <w:t>instituted. Additional pool use will be included on the bill for the month used.  Payment must be made in accordance with the monthly billing guidelines.</w:t>
      </w:r>
    </w:p>
    <w:p w14:paraId="5F1AA151" w14:textId="77777777" w:rsidR="00824761" w:rsidRDefault="00824761" w:rsidP="00824761">
      <w:pPr>
        <w:pStyle w:val="BodyText"/>
        <w:ind w:left="140" w:right="235"/>
        <w:jc w:val="both"/>
      </w:pPr>
    </w:p>
    <w:p w14:paraId="1BAB8F19" w14:textId="77777777" w:rsidR="00824761" w:rsidRDefault="00824761" w:rsidP="00824761">
      <w:pPr>
        <w:pStyle w:val="Heading1"/>
      </w:pPr>
      <w:r>
        <w:rPr>
          <w:u w:val="thick"/>
        </w:rPr>
        <w:t xml:space="preserve">Tournament Rentals </w:t>
      </w:r>
    </w:p>
    <w:p w14:paraId="1F9D706D" w14:textId="77777777" w:rsidR="00824761" w:rsidRDefault="00824761" w:rsidP="00824761">
      <w:pPr>
        <w:pStyle w:val="BodyText"/>
        <w:ind w:left="140" w:right="134"/>
        <w:jc w:val="both"/>
      </w:pPr>
      <w:r>
        <w:t>Organizations can apply for use of Community Aquatics facilities for tournaments, although the City is limited in the number of tournaments that can be held each year pursuant to the operating conditions for the facility. Fees are charged on per use basis. Staff will provide two weeks’ notice to permit groups and other users regarding permit changes due to</w:t>
      </w:r>
      <w:r>
        <w:rPr>
          <w:spacing w:val="-4"/>
        </w:rPr>
        <w:t xml:space="preserve"> </w:t>
      </w:r>
      <w:r>
        <w:t>tournaments.</w:t>
      </w:r>
    </w:p>
    <w:p w14:paraId="75EEBDDE" w14:textId="77777777" w:rsidR="00824761" w:rsidRDefault="00824761" w:rsidP="00824761">
      <w:pPr>
        <w:pStyle w:val="BodyText"/>
        <w:spacing w:before="10"/>
        <w:rPr>
          <w:sz w:val="23"/>
        </w:rPr>
      </w:pPr>
    </w:p>
    <w:p w14:paraId="62F6D74C" w14:textId="77777777" w:rsidR="00824761" w:rsidRDefault="00824761" w:rsidP="00824761">
      <w:pPr>
        <w:pStyle w:val="Heading1"/>
      </w:pPr>
      <w:r>
        <w:rPr>
          <w:u w:val="thick"/>
        </w:rPr>
        <w:t xml:space="preserve">Prohibited Uses </w:t>
      </w:r>
    </w:p>
    <w:p w14:paraId="32AE5CF2" w14:textId="77777777" w:rsidR="00824761" w:rsidRDefault="00824761" w:rsidP="00824761">
      <w:pPr>
        <w:pStyle w:val="BodyText"/>
        <w:ind w:left="140" w:right="135"/>
        <w:jc w:val="both"/>
      </w:pPr>
      <w:r>
        <w:t>Permits will not be issued to organizations that compete with City programs. Private instruction is not permitted during recreational swim or lap swimming.</w:t>
      </w:r>
    </w:p>
    <w:p w14:paraId="66307DB0" w14:textId="77777777" w:rsidR="00824761" w:rsidRDefault="00824761" w:rsidP="00824761">
      <w:pPr>
        <w:pStyle w:val="BodyText"/>
      </w:pPr>
    </w:p>
    <w:p w14:paraId="6D52B79B" w14:textId="77777777" w:rsidR="00824761" w:rsidRDefault="00824761" w:rsidP="00824761">
      <w:pPr>
        <w:pStyle w:val="Heading1"/>
      </w:pPr>
      <w:r>
        <w:rPr>
          <w:u w:val="thick"/>
        </w:rPr>
        <w:t xml:space="preserve">Facility Closure </w:t>
      </w:r>
    </w:p>
    <w:p w14:paraId="195A9A04" w14:textId="77777777" w:rsidR="00824761" w:rsidRDefault="00824761" w:rsidP="00824761">
      <w:pPr>
        <w:pStyle w:val="BodyText"/>
        <w:ind w:left="140" w:right="139"/>
        <w:jc w:val="both"/>
      </w:pPr>
      <w:r>
        <w:t>The El Segundo Aquatics Center is closed on the following days: Thanksgiving Day, The Day After Thanksgiving, December 24</w:t>
      </w:r>
      <w:r w:rsidRPr="00C26863">
        <w:rPr>
          <w:vertAlign w:val="superscript"/>
        </w:rPr>
        <w:t>th</w:t>
      </w:r>
      <w:r>
        <w:t>, December 25</w:t>
      </w:r>
      <w:r>
        <w:rPr>
          <w:vertAlign w:val="superscript"/>
        </w:rPr>
        <w:t>th</w:t>
      </w:r>
      <w:r>
        <w:t>, December 31</w:t>
      </w:r>
      <w:r w:rsidRPr="00C26863">
        <w:rPr>
          <w:vertAlign w:val="superscript"/>
        </w:rPr>
        <w:t>st</w:t>
      </w:r>
      <w:r>
        <w:t>, January 1</w:t>
      </w:r>
      <w:r>
        <w:rPr>
          <w:vertAlign w:val="superscript"/>
        </w:rPr>
        <w:t>st</w:t>
      </w:r>
      <w:r>
        <w:t>, Presidents Day, Martin Luther King Jr. Day, and a minimum of 1 week of closure during the year for facility maintenance and repairs.  Additional days may be added.</w:t>
      </w:r>
    </w:p>
    <w:p w14:paraId="43D343B9" w14:textId="77777777" w:rsidR="00824761" w:rsidRDefault="00824761" w:rsidP="00824761">
      <w:pPr>
        <w:pStyle w:val="BodyText"/>
      </w:pPr>
    </w:p>
    <w:p w14:paraId="1AD9F9DC" w14:textId="77777777" w:rsidR="00824761" w:rsidRDefault="00824761" w:rsidP="00824761">
      <w:pPr>
        <w:pStyle w:val="Heading1"/>
      </w:pPr>
      <w:r>
        <w:rPr>
          <w:u w:val="thick"/>
        </w:rPr>
        <w:t xml:space="preserve">Facility Limited Hours </w:t>
      </w:r>
    </w:p>
    <w:p w14:paraId="375324BF" w14:textId="77777777" w:rsidR="00824761" w:rsidRDefault="00824761" w:rsidP="00824761">
      <w:pPr>
        <w:pStyle w:val="BodyText"/>
        <w:ind w:left="140" w:right="234"/>
        <w:jc w:val="both"/>
      </w:pPr>
      <w:r>
        <w:t>The El Segundo Aquatics Center has limited hours or is closed on the following days: Memorial Day, July 4</w:t>
      </w:r>
      <w:r>
        <w:rPr>
          <w:vertAlign w:val="superscript"/>
        </w:rPr>
        <w:t>th</w:t>
      </w:r>
      <w:r>
        <w:t xml:space="preserve">, and Labor </w:t>
      </w:r>
      <w:r>
        <w:rPr>
          <w:spacing w:val="-2"/>
        </w:rPr>
        <w:t>Day</w:t>
      </w:r>
      <w:r>
        <w:t>.  Additional days may be added.</w:t>
      </w:r>
    </w:p>
    <w:p w14:paraId="0BB5733B" w14:textId="77777777" w:rsidR="00824761" w:rsidRDefault="00824761" w:rsidP="00824761">
      <w:pPr>
        <w:pStyle w:val="BodyText"/>
        <w:spacing w:before="9"/>
        <w:rPr>
          <w:sz w:val="23"/>
        </w:rPr>
      </w:pPr>
    </w:p>
    <w:p w14:paraId="4B12489E" w14:textId="77777777" w:rsidR="00824761" w:rsidRDefault="00824761" w:rsidP="00824761">
      <w:pPr>
        <w:pStyle w:val="Heading1"/>
        <w:spacing w:before="1"/>
      </w:pPr>
      <w:r>
        <w:rPr>
          <w:u w:val="thick"/>
        </w:rPr>
        <w:t xml:space="preserve">Permit Group Rules </w:t>
      </w:r>
    </w:p>
    <w:p w14:paraId="1778B95B" w14:textId="77777777" w:rsidR="00824761" w:rsidRDefault="00824761" w:rsidP="00824761">
      <w:pPr>
        <w:pStyle w:val="BodyText"/>
        <w:ind w:left="140" w:right="138"/>
        <w:jc w:val="both"/>
      </w:pPr>
      <w:r>
        <w:t>The City of El Segundo Aquatics program rules are designed to help provide a safe and successful experience. Organizations are responsible for ensuring their staff and participants follow these rules.   The Permit Group Rules are agreed to by the permit groups as a part of the permit application process.</w:t>
      </w:r>
    </w:p>
    <w:p w14:paraId="0D6B9760" w14:textId="77777777" w:rsidR="00824761" w:rsidRDefault="00824761" w:rsidP="00824761">
      <w:pPr>
        <w:pStyle w:val="BodyText"/>
        <w:spacing w:before="2"/>
      </w:pPr>
    </w:p>
    <w:p w14:paraId="739B0401" w14:textId="77777777" w:rsidR="00824761" w:rsidRDefault="00824761" w:rsidP="00824761">
      <w:pPr>
        <w:pStyle w:val="BodyText"/>
        <w:ind w:left="140"/>
        <w:jc w:val="both"/>
        <w:rPr>
          <w:sz w:val="31"/>
        </w:rPr>
      </w:pPr>
      <w:r>
        <w:t>Permit holder participants and representatives must abide by the following Code of Conduct:</w:t>
      </w:r>
    </w:p>
    <w:p w14:paraId="1CF59B2B" w14:textId="77777777" w:rsidR="00824761" w:rsidRDefault="00824761" w:rsidP="00824761">
      <w:pPr>
        <w:pStyle w:val="ListParagraph"/>
        <w:numPr>
          <w:ilvl w:val="1"/>
          <w:numId w:val="5"/>
        </w:numPr>
        <w:tabs>
          <w:tab w:val="left" w:pos="540"/>
        </w:tabs>
        <w:ind w:hanging="1400"/>
        <w:contextualSpacing w:val="0"/>
        <w:rPr>
          <w:sz w:val="24"/>
        </w:rPr>
      </w:pPr>
      <w:r>
        <w:rPr>
          <w:sz w:val="24"/>
        </w:rPr>
        <w:t>Permit holders shall be respectful of the Aquatics Center and facility</w:t>
      </w:r>
      <w:r>
        <w:rPr>
          <w:spacing w:val="-14"/>
          <w:sz w:val="24"/>
        </w:rPr>
        <w:t xml:space="preserve"> </w:t>
      </w:r>
      <w:r>
        <w:rPr>
          <w:sz w:val="24"/>
        </w:rPr>
        <w:t>users</w:t>
      </w:r>
    </w:p>
    <w:p w14:paraId="154E7D64" w14:textId="77777777" w:rsidR="00824761" w:rsidRDefault="00824761" w:rsidP="00824761">
      <w:pPr>
        <w:pStyle w:val="ListParagraph"/>
        <w:numPr>
          <w:ilvl w:val="1"/>
          <w:numId w:val="5"/>
        </w:numPr>
        <w:tabs>
          <w:tab w:val="left" w:pos="540"/>
        </w:tabs>
        <w:spacing w:before="1"/>
        <w:ind w:hanging="1400"/>
        <w:contextualSpacing w:val="0"/>
        <w:rPr>
          <w:sz w:val="24"/>
        </w:rPr>
      </w:pPr>
      <w:r>
        <w:rPr>
          <w:sz w:val="24"/>
        </w:rPr>
        <w:t>Permit holders shall be respectful of City</w:t>
      </w:r>
      <w:r>
        <w:rPr>
          <w:spacing w:val="-10"/>
          <w:sz w:val="24"/>
        </w:rPr>
        <w:t xml:space="preserve"> </w:t>
      </w:r>
      <w:r>
        <w:rPr>
          <w:sz w:val="24"/>
        </w:rPr>
        <w:t>staff</w:t>
      </w:r>
    </w:p>
    <w:p w14:paraId="3A454708" w14:textId="67CBD9E2" w:rsidR="00824761" w:rsidRDefault="00824761" w:rsidP="00824761">
      <w:pPr>
        <w:pStyle w:val="ListParagraph"/>
        <w:numPr>
          <w:ilvl w:val="1"/>
          <w:numId w:val="5"/>
        </w:numPr>
        <w:tabs>
          <w:tab w:val="left" w:pos="540"/>
        </w:tabs>
        <w:spacing w:before="1"/>
        <w:ind w:left="180" w:firstLine="0"/>
        <w:contextualSpacing w:val="0"/>
      </w:pPr>
      <w:r w:rsidRPr="00545B7D">
        <w:rPr>
          <w:sz w:val="24"/>
        </w:rPr>
        <w:t>Permit holders shall be respectful of other permit holders and their</w:t>
      </w:r>
      <w:r w:rsidRPr="00545B7D">
        <w:rPr>
          <w:spacing w:val="-15"/>
          <w:sz w:val="24"/>
        </w:rPr>
        <w:t xml:space="preserve"> </w:t>
      </w:r>
      <w:r w:rsidRPr="00545B7D">
        <w:rPr>
          <w:sz w:val="24"/>
        </w:rPr>
        <w:t>client</w:t>
      </w:r>
      <w:r w:rsidR="00545B7D" w:rsidRPr="00545B7D">
        <w:rPr>
          <w:sz w:val="24"/>
        </w:rPr>
        <w:t>s</w:t>
      </w:r>
      <w:bookmarkEnd w:id="0"/>
    </w:p>
    <w:sectPr w:rsidR="008247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C6B5" w14:textId="77777777" w:rsidR="00000000" w:rsidRDefault="00C47C9C">
      <w:r>
        <w:separator/>
      </w:r>
    </w:p>
  </w:endnote>
  <w:endnote w:type="continuationSeparator" w:id="0">
    <w:p w14:paraId="6AFE13D0" w14:textId="77777777" w:rsidR="00000000" w:rsidRDefault="00C4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41" w14:textId="77777777" w:rsidR="00824761" w:rsidRDefault="00824761">
    <w:pPr>
      <w:pStyle w:val="Footer"/>
      <w:jc w:val="center"/>
    </w:pPr>
    <w:r>
      <w:fldChar w:fldCharType="begin"/>
    </w:r>
    <w:r>
      <w:instrText xml:space="preserve"> PAGE   \* MERGEFORMAT </w:instrText>
    </w:r>
    <w:r>
      <w:fldChar w:fldCharType="separate"/>
    </w:r>
    <w:r>
      <w:rPr>
        <w:noProof/>
      </w:rPr>
      <w:t>2</w:t>
    </w:r>
    <w:r>
      <w:rPr>
        <w:noProof/>
      </w:rPr>
      <w:fldChar w:fldCharType="end"/>
    </w:r>
  </w:p>
  <w:p w14:paraId="4F75FAF0" w14:textId="77777777" w:rsidR="00824761" w:rsidRDefault="0082476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D557" w14:textId="77777777" w:rsidR="00000000" w:rsidRDefault="00C47C9C">
      <w:r>
        <w:separator/>
      </w:r>
    </w:p>
  </w:footnote>
  <w:footnote w:type="continuationSeparator" w:id="0">
    <w:p w14:paraId="29F7CD97" w14:textId="77777777" w:rsidR="00000000" w:rsidRDefault="00C4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F1A0D"/>
    <w:multiLevelType w:val="hybridMultilevel"/>
    <w:tmpl w:val="E8943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584E14"/>
    <w:multiLevelType w:val="hybridMultilevel"/>
    <w:tmpl w:val="85DE092E"/>
    <w:lvl w:ilvl="0" w:tplc="E7868BEC">
      <w:start w:val="1"/>
      <w:numFmt w:val="decimal"/>
      <w:lvlText w:val="%1)"/>
      <w:lvlJc w:val="left"/>
      <w:pPr>
        <w:ind w:left="860" w:hanging="360"/>
      </w:pPr>
      <w:rPr>
        <w:rFonts w:ascii="Arial" w:eastAsia="Arial" w:hAnsi="Arial" w:cs="Arial" w:hint="default"/>
        <w:w w:val="99"/>
        <w:sz w:val="24"/>
        <w:szCs w:val="24"/>
        <w:lang w:val="en-US" w:eastAsia="en-US" w:bidi="ar-SA"/>
      </w:rPr>
    </w:lvl>
    <w:lvl w:ilvl="1" w:tplc="88A492A4">
      <w:start w:val="1"/>
      <w:numFmt w:val="lowerLetter"/>
      <w:lvlText w:val="%2)"/>
      <w:lvlJc w:val="left"/>
      <w:pPr>
        <w:ind w:left="1580" w:hanging="360"/>
      </w:pPr>
      <w:rPr>
        <w:rFonts w:ascii="Arial" w:eastAsia="Arial" w:hAnsi="Arial" w:cs="Arial" w:hint="default"/>
        <w:w w:val="99"/>
        <w:sz w:val="24"/>
        <w:szCs w:val="24"/>
        <w:lang w:val="en-US" w:eastAsia="en-US" w:bidi="ar-SA"/>
      </w:rPr>
    </w:lvl>
    <w:lvl w:ilvl="2" w:tplc="2BC47B86">
      <w:numFmt w:val="bullet"/>
      <w:lvlText w:val="•"/>
      <w:lvlJc w:val="left"/>
      <w:pPr>
        <w:ind w:left="2475" w:hanging="360"/>
      </w:pPr>
      <w:rPr>
        <w:rFonts w:hint="default"/>
        <w:lang w:val="en-US" w:eastAsia="en-US" w:bidi="ar-SA"/>
      </w:rPr>
    </w:lvl>
    <w:lvl w:ilvl="3" w:tplc="530A1A9E">
      <w:numFmt w:val="bullet"/>
      <w:lvlText w:val="•"/>
      <w:lvlJc w:val="left"/>
      <w:pPr>
        <w:ind w:left="3371" w:hanging="360"/>
      </w:pPr>
      <w:rPr>
        <w:rFonts w:hint="default"/>
        <w:lang w:val="en-US" w:eastAsia="en-US" w:bidi="ar-SA"/>
      </w:rPr>
    </w:lvl>
    <w:lvl w:ilvl="4" w:tplc="66B47668">
      <w:numFmt w:val="bullet"/>
      <w:lvlText w:val="•"/>
      <w:lvlJc w:val="left"/>
      <w:pPr>
        <w:ind w:left="4266" w:hanging="360"/>
      </w:pPr>
      <w:rPr>
        <w:rFonts w:hint="default"/>
        <w:lang w:val="en-US" w:eastAsia="en-US" w:bidi="ar-SA"/>
      </w:rPr>
    </w:lvl>
    <w:lvl w:ilvl="5" w:tplc="F20E8502">
      <w:numFmt w:val="bullet"/>
      <w:lvlText w:val="•"/>
      <w:lvlJc w:val="left"/>
      <w:pPr>
        <w:ind w:left="5162" w:hanging="360"/>
      </w:pPr>
      <w:rPr>
        <w:rFonts w:hint="default"/>
        <w:lang w:val="en-US" w:eastAsia="en-US" w:bidi="ar-SA"/>
      </w:rPr>
    </w:lvl>
    <w:lvl w:ilvl="6" w:tplc="2D02FE2C">
      <w:numFmt w:val="bullet"/>
      <w:lvlText w:val="•"/>
      <w:lvlJc w:val="left"/>
      <w:pPr>
        <w:ind w:left="6057" w:hanging="360"/>
      </w:pPr>
      <w:rPr>
        <w:rFonts w:hint="default"/>
        <w:lang w:val="en-US" w:eastAsia="en-US" w:bidi="ar-SA"/>
      </w:rPr>
    </w:lvl>
    <w:lvl w:ilvl="7" w:tplc="68C02C04">
      <w:numFmt w:val="bullet"/>
      <w:lvlText w:val="•"/>
      <w:lvlJc w:val="left"/>
      <w:pPr>
        <w:ind w:left="6953" w:hanging="360"/>
      </w:pPr>
      <w:rPr>
        <w:rFonts w:hint="default"/>
        <w:lang w:val="en-US" w:eastAsia="en-US" w:bidi="ar-SA"/>
      </w:rPr>
    </w:lvl>
    <w:lvl w:ilvl="8" w:tplc="11449B68">
      <w:numFmt w:val="bullet"/>
      <w:lvlText w:val="•"/>
      <w:lvlJc w:val="left"/>
      <w:pPr>
        <w:ind w:left="7848" w:hanging="360"/>
      </w:pPr>
      <w:rPr>
        <w:rFonts w:hint="default"/>
        <w:lang w:val="en-US" w:eastAsia="en-US" w:bidi="ar-SA"/>
      </w:rPr>
    </w:lvl>
  </w:abstractNum>
  <w:abstractNum w:abstractNumId="2" w15:restartNumberingAfterBreak="0">
    <w:nsid w:val="322F7642"/>
    <w:multiLevelType w:val="multilevel"/>
    <w:tmpl w:val="42D09E6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92035D"/>
    <w:multiLevelType w:val="hybridMultilevel"/>
    <w:tmpl w:val="225470E8"/>
    <w:lvl w:ilvl="0" w:tplc="FFFFFFFF">
      <w:start w:val="1"/>
      <w:numFmt w:val="decimal"/>
      <w:lvlText w:val="%1)"/>
      <w:lvlJc w:val="left"/>
      <w:pPr>
        <w:ind w:left="860" w:hanging="360"/>
      </w:pPr>
      <w:rPr>
        <w:rFonts w:ascii="Arial" w:eastAsia="Arial" w:hAnsi="Arial" w:cs="Arial" w:hint="default"/>
        <w:w w:val="99"/>
        <w:sz w:val="24"/>
        <w:szCs w:val="24"/>
        <w:lang w:val="en-US" w:eastAsia="en-US" w:bidi="ar-SA"/>
      </w:rPr>
    </w:lvl>
    <w:lvl w:ilvl="1" w:tplc="FFFFFFFF">
      <w:start w:val="1"/>
      <w:numFmt w:val="lowerLetter"/>
      <w:lvlText w:val="%2)"/>
      <w:lvlJc w:val="left"/>
      <w:pPr>
        <w:ind w:left="1580" w:hanging="360"/>
      </w:pPr>
      <w:rPr>
        <w:rFonts w:ascii="Arial" w:eastAsia="Arial" w:hAnsi="Arial" w:cs="Arial" w:hint="default"/>
        <w:w w:val="99"/>
        <w:sz w:val="24"/>
        <w:szCs w:val="24"/>
        <w:lang w:val="en-US" w:eastAsia="en-US" w:bidi="ar-SA"/>
      </w:rPr>
    </w:lvl>
    <w:lvl w:ilvl="2" w:tplc="FFFFFFFF">
      <w:numFmt w:val="bullet"/>
      <w:lvlText w:val="•"/>
      <w:lvlJc w:val="left"/>
      <w:pPr>
        <w:ind w:left="2475" w:hanging="360"/>
      </w:pPr>
      <w:rPr>
        <w:rFonts w:hint="default"/>
        <w:lang w:val="en-US" w:eastAsia="en-US" w:bidi="ar-SA"/>
      </w:rPr>
    </w:lvl>
    <w:lvl w:ilvl="3" w:tplc="FFFFFFFF">
      <w:numFmt w:val="bullet"/>
      <w:lvlText w:val="•"/>
      <w:lvlJc w:val="left"/>
      <w:pPr>
        <w:ind w:left="3371" w:hanging="360"/>
      </w:pPr>
      <w:rPr>
        <w:rFonts w:hint="default"/>
        <w:lang w:val="en-US" w:eastAsia="en-US" w:bidi="ar-SA"/>
      </w:rPr>
    </w:lvl>
    <w:lvl w:ilvl="4" w:tplc="FFFFFFFF">
      <w:numFmt w:val="bullet"/>
      <w:lvlText w:val="•"/>
      <w:lvlJc w:val="left"/>
      <w:pPr>
        <w:ind w:left="4266" w:hanging="360"/>
      </w:pPr>
      <w:rPr>
        <w:rFonts w:hint="default"/>
        <w:lang w:val="en-US" w:eastAsia="en-US" w:bidi="ar-SA"/>
      </w:rPr>
    </w:lvl>
    <w:lvl w:ilvl="5" w:tplc="FFFFFFFF">
      <w:numFmt w:val="bullet"/>
      <w:lvlText w:val="•"/>
      <w:lvlJc w:val="left"/>
      <w:pPr>
        <w:ind w:left="5162" w:hanging="360"/>
      </w:pPr>
      <w:rPr>
        <w:rFonts w:hint="default"/>
        <w:lang w:val="en-US" w:eastAsia="en-US" w:bidi="ar-SA"/>
      </w:rPr>
    </w:lvl>
    <w:lvl w:ilvl="6" w:tplc="FFFFFFFF">
      <w:numFmt w:val="bullet"/>
      <w:lvlText w:val="•"/>
      <w:lvlJc w:val="left"/>
      <w:pPr>
        <w:ind w:left="6057" w:hanging="360"/>
      </w:pPr>
      <w:rPr>
        <w:rFonts w:hint="default"/>
        <w:lang w:val="en-US" w:eastAsia="en-US" w:bidi="ar-SA"/>
      </w:rPr>
    </w:lvl>
    <w:lvl w:ilvl="7" w:tplc="FFFFFFFF">
      <w:numFmt w:val="bullet"/>
      <w:lvlText w:val="•"/>
      <w:lvlJc w:val="left"/>
      <w:pPr>
        <w:ind w:left="6953" w:hanging="360"/>
      </w:pPr>
      <w:rPr>
        <w:rFonts w:hint="default"/>
        <w:lang w:val="en-US" w:eastAsia="en-US" w:bidi="ar-SA"/>
      </w:rPr>
    </w:lvl>
    <w:lvl w:ilvl="8" w:tplc="FFFFFFFF">
      <w:numFmt w:val="bullet"/>
      <w:lvlText w:val="•"/>
      <w:lvlJc w:val="left"/>
      <w:pPr>
        <w:ind w:left="7848" w:hanging="360"/>
      </w:pPr>
      <w:rPr>
        <w:rFonts w:hint="default"/>
        <w:lang w:val="en-US" w:eastAsia="en-US" w:bidi="ar-SA"/>
      </w:rPr>
    </w:lvl>
  </w:abstractNum>
  <w:abstractNum w:abstractNumId="4" w15:restartNumberingAfterBreak="0">
    <w:nsid w:val="790174A7"/>
    <w:multiLevelType w:val="hybridMultilevel"/>
    <w:tmpl w:val="E1E0C862"/>
    <w:lvl w:ilvl="0" w:tplc="0E1241B4">
      <w:numFmt w:val="bullet"/>
      <w:lvlText w:val=""/>
      <w:lvlJc w:val="left"/>
      <w:pPr>
        <w:ind w:left="860" w:hanging="360"/>
      </w:pPr>
      <w:rPr>
        <w:rFonts w:ascii="Symbol" w:eastAsia="Symbol" w:hAnsi="Symbol" w:cs="Symbol" w:hint="default"/>
        <w:w w:val="100"/>
        <w:sz w:val="24"/>
        <w:szCs w:val="24"/>
        <w:lang w:val="en-US" w:eastAsia="en-US" w:bidi="ar-SA"/>
      </w:rPr>
    </w:lvl>
    <w:lvl w:ilvl="1" w:tplc="E19845E4">
      <w:numFmt w:val="bullet"/>
      <w:lvlText w:val="•"/>
      <w:lvlJc w:val="left"/>
      <w:pPr>
        <w:ind w:left="1738" w:hanging="360"/>
      </w:pPr>
      <w:rPr>
        <w:rFonts w:hint="default"/>
        <w:lang w:val="en-US" w:eastAsia="en-US" w:bidi="ar-SA"/>
      </w:rPr>
    </w:lvl>
    <w:lvl w:ilvl="2" w:tplc="89B2D1B6">
      <w:numFmt w:val="bullet"/>
      <w:lvlText w:val="•"/>
      <w:lvlJc w:val="left"/>
      <w:pPr>
        <w:ind w:left="2616" w:hanging="360"/>
      </w:pPr>
      <w:rPr>
        <w:rFonts w:hint="default"/>
        <w:lang w:val="en-US" w:eastAsia="en-US" w:bidi="ar-SA"/>
      </w:rPr>
    </w:lvl>
    <w:lvl w:ilvl="3" w:tplc="EAFAF7CC">
      <w:numFmt w:val="bullet"/>
      <w:lvlText w:val="•"/>
      <w:lvlJc w:val="left"/>
      <w:pPr>
        <w:ind w:left="3494" w:hanging="360"/>
      </w:pPr>
      <w:rPr>
        <w:rFonts w:hint="default"/>
        <w:lang w:val="en-US" w:eastAsia="en-US" w:bidi="ar-SA"/>
      </w:rPr>
    </w:lvl>
    <w:lvl w:ilvl="4" w:tplc="DCC0526E">
      <w:numFmt w:val="bullet"/>
      <w:lvlText w:val="•"/>
      <w:lvlJc w:val="left"/>
      <w:pPr>
        <w:ind w:left="4372" w:hanging="360"/>
      </w:pPr>
      <w:rPr>
        <w:rFonts w:hint="default"/>
        <w:lang w:val="en-US" w:eastAsia="en-US" w:bidi="ar-SA"/>
      </w:rPr>
    </w:lvl>
    <w:lvl w:ilvl="5" w:tplc="A8CE6FAC">
      <w:numFmt w:val="bullet"/>
      <w:lvlText w:val="•"/>
      <w:lvlJc w:val="left"/>
      <w:pPr>
        <w:ind w:left="5250" w:hanging="360"/>
      </w:pPr>
      <w:rPr>
        <w:rFonts w:hint="default"/>
        <w:lang w:val="en-US" w:eastAsia="en-US" w:bidi="ar-SA"/>
      </w:rPr>
    </w:lvl>
    <w:lvl w:ilvl="6" w:tplc="9A7E6AB6">
      <w:numFmt w:val="bullet"/>
      <w:lvlText w:val="•"/>
      <w:lvlJc w:val="left"/>
      <w:pPr>
        <w:ind w:left="6128" w:hanging="360"/>
      </w:pPr>
      <w:rPr>
        <w:rFonts w:hint="default"/>
        <w:lang w:val="en-US" w:eastAsia="en-US" w:bidi="ar-SA"/>
      </w:rPr>
    </w:lvl>
    <w:lvl w:ilvl="7" w:tplc="651EAFBA">
      <w:numFmt w:val="bullet"/>
      <w:lvlText w:val="•"/>
      <w:lvlJc w:val="left"/>
      <w:pPr>
        <w:ind w:left="7006" w:hanging="360"/>
      </w:pPr>
      <w:rPr>
        <w:rFonts w:hint="default"/>
        <w:lang w:val="en-US" w:eastAsia="en-US" w:bidi="ar-SA"/>
      </w:rPr>
    </w:lvl>
    <w:lvl w:ilvl="8" w:tplc="11C61AFA">
      <w:numFmt w:val="bullet"/>
      <w:lvlText w:val="•"/>
      <w:lvlJc w:val="left"/>
      <w:pPr>
        <w:ind w:left="7884" w:hanging="360"/>
      </w:pPr>
      <w:rPr>
        <w:rFonts w:hint="default"/>
        <w:lang w:val="en-US" w:eastAsia="en-US" w:bidi="ar-SA"/>
      </w:rPr>
    </w:lvl>
  </w:abstractNum>
  <w:num w:numId="1" w16cid:durableId="1855461706">
    <w:abstractNumId w:val="2"/>
  </w:num>
  <w:num w:numId="2" w16cid:durableId="1747414305">
    <w:abstractNumId w:val="4"/>
  </w:num>
  <w:num w:numId="3" w16cid:durableId="1283728384">
    <w:abstractNumId w:val="1"/>
  </w:num>
  <w:num w:numId="4" w16cid:durableId="1526021387">
    <w:abstractNumId w:val="0"/>
  </w:num>
  <w:num w:numId="5" w16cid:durableId="510023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61"/>
    <w:rsid w:val="00096C38"/>
    <w:rsid w:val="00545B7D"/>
    <w:rsid w:val="007B3809"/>
    <w:rsid w:val="00824761"/>
    <w:rsid w:val="00B71FD0"/>
    <w:rsid w:val="00C47C9C"/>
    <w:rsid w:val="00D6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1F97"/>
  <w15:chartTrackingRefBased/>
  <w15:docId w15:val="{0B69B389-B5B3-4D08-9EBE-628ECBE8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61"/>
    <w:pPr>
      <w:widowControl w:val="0"/>
      <w:autoSpaceDE w:val="0"/>
      <w:autoSpaceDN w:val="0"/>
      <w:spacing w:after="0" w:line="240" w:lineRule="auto"/>
    </w:pPr>
    <w:rPr>
      <w:rFonts w:ascii="Arial" w:eastAsia="Arial" w:hAnsi="Arial" w:cs="Arial"/>
    </w:rPr>
  </w:style>
  <w:style w:type="paragraph" w:styleId="Heading1">
    <w:name w:val="heading 1"/>
    <w:basedOn w:val="ListParagraph"/>
    <w:next w:val="Normal"/>
    <w:link w:val="Heading1Char"/>
    <w:uiPriority w:val="9"/>
    <w:qFormat/>
    <w:rsid w:val="00824761"/>
    <w:pPr>
      <w:numPr>
        <w:numId w:val="1"/>
      </w:numPr>
      <w:outlineLvl w:val="0"/>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761"/>
    <w:rPr>
      <w:rFonts w:ascii="Arial" w:eastAsia="Arial" w:hAnsi="Arial" w:cstheme="minorHAnsi"/>
      <w:b/>
      <w:bCs/>
      <w:sz w:val="24"/>
      <w:szCs w:val="24"/>
    </w:rPr>
  </w:style>
  <w:style w:type="paragraph" w:styleId="ListParagraph">
    <w:name w:val="List Paragraph"/>
    <w:basedOn w:val="Normal"/>
    <w:uiPriority w:val="34"/>
    <w:qFormat/>
    <w:rsid w:val="00824761"/>
    <w:pPr>
      <w:ind w:left="720"/>
      <w:contextualSpacing/>
    </w:pPr>
  </w:style>
  <w:style w:type="paragraph" w:styleId="BodyText">
    <w:name w:val="Body Text"/>
    <w:basedOn w:val="Normal"/>
    <w:link w:val="BodyTextChar"/>
    <w:uiPriority w:val="1"/>
    <w:qFormat/>
    <w:rsid w:val="00824761"/>
    <w:rPr>
      <w:sz w:val="24"/>
      <w:szCs w:val="24"/>
    </w:rPr>
  </w:style>
  <w:style w:type="character" w:customStyle="1" w:styleId="BodyTextChar">
    <w:name w:val="Body Text Char"/>
    <w:basedOn w:val="DefaultParagraphFont"/>
    <w:link w:val="BodyText"/>
    <w:uiPriority w:val="1"/>
    <w:rsid w:val="00824761"/>
    <w:rPr>
      <w:rFonts w:ascii="Arial" w:eastAsia="Arial" w:hAnsi="Arial" w:cs="Arial"/>
      <w:sz w:val="24"/>
      <w:szCs w:val="24"/>
    </w:rPr>
  </w:style>
  <w:style w:type="paragraph" w:styleId="Title">
    <w:name w:val="Title"/>
    <w:basedOn w:val="Normal"/>
    <w:link w:val="TitleChar"/>
    <w:uiPriority w:val="10"/>
    <w:qFormat/>
    <w:rsid w:val="00824761"/>
    <w:pPr>
      <w:spacing w:before="68"/>
      <w:ind w:left="1808" w:right="1811" w:firstLine="669"/>
    </w:pPr>
    <w:rPr>
      <w:b/>
      <w:bCs/>
      <w:sz w:val="28"/>
      <w:szCs w:val="28"/>
    </w:rPr>
  </w:style>
  <w:style w:type="character" w:customStyle="1" w:styleId="TitleChar">
    <w:name w:val="Title Char"/>
    <w:basedOn w:val="DefaultParagraphFont"/>
    <w:link w:val="Title"/>
    <w:uiPriority w:val="10"/>
    <w:rsid w:val="00824761"/>
    <w:rPr>
      <w:rFonts w:ascii="Arial" w:eastAsia="Arial" w:hAnsi="Arial" w:cs="Arial"/>
      <w:b/>
      <w:bCs/>
      <w:sz w:val="28"/>
      <w:szCs w:val="28"/>
    </w:rPr>
  </w:style>
  <w:style w:type="table" w:styleId="TableGrid">
    <w:name w:val="Table Grid"/>
    <w:basedOn w:val="TableNormal"/>
    <w:uiPriority w:val="59"/>
    <w:rsid w:val="0082476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4761"/>
    <w:pPr>
      <w:tabs>
        <w:tab w:val="center" w:pos="4680"/>
        <w:tab w:val="right" w:pos="9360"/>
      </w:tabs>
    </w:pPr>
  </w:style>
  <w:style w:type="character" w:customStyle="1" w:styleId="FooterChar">
    <w:name w:val="Footer Char"/>
    <w:basedOn w:val="DefaultParagraphFont"/>
    <w:link w:val="Footer"/>
    <w:uiPriority w:val="99"/>
    <w:rsid w:val="0082476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Lormans</dc:creator>
  <cp:keywords/>
  <dc:description/>
  <cp:lastModifiedBy>Lormans, Joseph</cp:lastModifiedBy>
  <cp:revision>3</cp:revision>
  <cp:lastPrinted>2024-04-19T16:05:00Z</cp:lastPrinted>
  <dcterms:created xsi:type="dcterms:W3CDTF">2024-02-26T16:32:00Z</dcterms:created>
  <dcterms:modified xsi:type="dcterms:W3CDTF">2024-04-19T16:56:00Z</dcterms:modified>
</cp:coreProperties>
</file>